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5000" w:type="pct"/>
        <w:tblCellMar>
          <w:left w:w="0" w:type="dxa"/>
          <w:right w:w="0" w:type="dxa"/>
        </w:tblCellMar>
        <w:tblLook w:val="0000" w:firstRow="0" w:lastRow="0" w:firstColumn="0" w:lastColumn="0" w:noHBand="0" w:noVBand="0"/>
      </w:tblPr>
      <w:tblGrid>
        <w:gridCol w:w="2689"/>
        <w:gridCol w:w="2299"/>
        <w:gridCol w:w="4084"/>
      </w:tblGrid>
      <w:tr w:rsidR="004B6AF9" w:rsidTr="00032DEC">
        <w:trPr>
          <w:trHeight w:val="113"/>
        </w:trPr>
        <w:tc>
          <w:tcPr>
            <w:tcW w:w="2749" w:type="pct"/>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2251" w:type="pct"/>
          </w:tcPr>
          <w:p w:rsidR="004B6AF9" w:rsidRDefault="004B6AF9" w:rsidP="004B6AF9">
            <w:pPr>
              <w:rPr>
                <w:rFonts w:ascii="Arial Narrow" w:hAnsi="Arial Narrow" w:cs="Arial"/>
                <w:color w:val="808080"/>
                <w:sz w:val="15"/>
                <w:lang w:val="it-IT"/>
              </w:rPr>
            </w:pPr>
          </w:p>
        </w:tc>
      </w:tr>
      <w:tr w:rsidR="004B6AF9" w:rsidTr="00032DEC">
        <w:trPr>
          <w:trHeight w:val="341"/>
        </w:trPr>
        <w:tc>
          <w:tcPr>
            <w:tcW w:w="2749" w:type="pct"/>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2251" w:type="pct"/>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032DEC">
        <w:trPr>
          <w:cantSplit/>
          <w:trHeight w:hRule="exact" w:val="2155"/>
        </w:trPr>
        <w:tc>
          <w:tcPr>
            <w:tcW w:w="2749" w:type="pct"/>
            <w:gridSpan w:val="2"/>
          </w:tcPr>
          <w:p w:rsidR="003E3830" w:rsidRDefault="0062486B" w:rsidP="004B6AF9">
            <w:pPr>
              <w:rPr>
                <w:sz w:val="22"/>
              </w:rPr>
            </w:pPr>
            <w:r>
              <w:rPr>
                <w:rFonts w:ascii="Arial" w:hAnsi="Arial" w:cs="Arial"/>
                <w:sz w:val="22"/>
                <w:lang w:val="it-IT"/>
              </w:rPr>
              <w:t>An die Redaktion</w:t>
            </w:r>
          </w:p>
        </w:tc>
        <w:tc>
          <w:tcPr>
            <w:tcW w:w="2251" w:type="pct"/>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7373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  O B E R B Ü R G E R M E I S T E R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90010B"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90010B"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032DEC">
        <w:trPr>
          <w:cantSplit/>
          <w:trHeight w:val="196"/>
        </w:trPr>
        <w:tc>
          <w:tcPr>
            <w:tcW w:w="1482" w:type="pct"/>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482A13" w:rsidP="00F42482">
            <w:pPr>
              <w:pStyle w:val="AdresseKontakt"/>
              <w:spacing w:line="240" w:lineRule="auto"/>
              <w:rPr>
                <w:sz w:val="22"/>
                <w:lang w:val="fr-FR"/>
              </w:rPr>
            </w:pPr>
            <w:r>
              <w:rPr>
                <w:rFonts w:eastAsia="Times New Roman" w:cs="Arial"/>
                <w:szCs w:val="24"/>
              </w:rPr>
              <w:t>bur</w:t>
            </w:r>
            <w:r w:rsidR="001923DD">
              <w:rPr>
                <w:rFonts w:eastAsia="Times New Roman" w:cs="Arial"/>
                <w:szCs w:val="24"/>
              </w:rPr>
              <w:t>/</w:t>
            </w:r>
            <w:r w:rsidR="0090010B">
              <w:rPr>
                <w:rFonts w:eastAsia="Times New Roman" w:cs="Arial"/>
                <w:szCs w:val="24"/>
              </w:rPr>
              <w:t>23</w:t>
            </w:r>
            <w:r w:rsidR="00F42482">
              <w:rPr>
                <w:rFonts w:eastAsia="Times New Roman" w:cs="Arial"/>
                <w:szCs w:val="24"/>
              </w:rPr>
              <w:t>.September</w:t>
            </w:r>
            <w:r w:rsidR="00332098">
              <w:rPr>
                <w:rFonts w:eastAsia="Times New Roman" w:cs="Arial"/>
                <w:szCs w:val="24"/>
              </w:rPr>
              <w:t xml:space="preserve"> 2022</w:t>
            </w:r>
          </w:p>
        </w:tc>
        <w:tc>
          <w:tcPr>
            <w:tcW w:w="1267" w:type="pct"/>
          </w:tcPr>
          <w:p w:rsidR="003E3830" w:rsidRDefault="003E3830" w:rsidP="004B6AF9">
            <w:pPr>
              <w:pStyle w:val="AdresseKontakt"/>
              <w:spacing w:line="240" w:lineRule="auto"/>
              <w:rPr>
                <w:rFonts w:eastAsia="Times New Roman" w:cs="Arial"/>
                <w:szCs w:val="24"/>
              </w:rPr>
            </w:pPr>
          </w:p>
        </w:tc>
        <w:tc>
          <w:tcPr>
            <w:tcW w:w="2251" w:type="pct"/>
            <w:vMerge/>
          </w:tcPr>
          <w:p w:rsidR="003E3830" w:rsidRDefault="003E3830" w:rsidP="004B6AF9">
            <w:pPr>
              <w:rPr>
                <w:rFonts w:ascii="Arial" w:hAnsi="Arial" w:cs="Arial"/>
                <w:sz w:val="18"/>
              </w:rPr>
            </w:pPr>
          </w:p>
        </w:tc>
      </w:tr>
      <w:tr w:rsidR="003E3830" w:rsidTr="00032DEC">
        <w:trPr>
          <w:cantSplit/>
          <w:trHeight w:val="465"/>
        </w:trPr>
        <w:tc>
          <w:tcPr>
            <w:tcW w:w="1482" w:type="pct"/>
          </w:tcPr>
          <w:p w:rsidR="003E3830" w:rsidRDefault="003E3830" w:rsidP="004B6AF9">
            <w:pPr>
              <w:pStyle w:val="AdresseKontakt"/>
              <w:spacing w:line="240" w:lineRule="auto"/>
              <w:rPr>
                <w:rFonts w:eastAsia="Times New Roman" w:cs="Arial"/>
                <w:szCs w:val="24"/>
              </w:rPr>
            </w:pPr>
          </w:p>
        </w:tc>
        <w:tc>
          <w:tcPr>
            <w:tcW w:w="1267" w:type="pct"/>
          </w:tcPr>
          <w:p w:rsidR="003E3830" w:rsidRDefault="003E3830" w:rsidP="004B6AF9">
            <w:pPr>
              <w:pStyle w:val="AdresseKontakt"/>
              <w:spacing w:line="240" w:lineRule="auto"/>
              <w:rPr>
                <w:rFonts w:eastAsia="Times New Roman" w:cs="Arial"/>
                <w:szCs w:val="24"/>
              </w:rPr>
            </w:pPr>
          </w:p>
        </w:tc>
        <w:tc>
          <w:tcPr>
            <w:tcW w:w="2251" w:type="pct"/>
            <w:vMerge/>
          </w:tcPr>
          <w:p w:rsidR="003E3830" w:rsidRDefault="003E3830" w:rsidP="004B6AF9">
            <w:pPr>
              <w:rPr>
                <w:rFonts w:ascii="Arial" w:hAnsi="Arial" w:cs="Arial"/>
                <w:sz w:val="18"/>
              </w:rPr>
            </w:pPr>
          </w:p>
        </w:tc>
      </w:tr>
      <w:tr w:rsidR="003E3830" w:rsidTr="00032DEC">
        <w:trPr>
          <w:cantSplit/>
          <w:trHeight w:val="695"/>
        </w:trPr>
        <w:tc>
          <w:tcPr>
            <w:tcW w:w="2749" w:type="pct"/>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2251" w:type="pct"/>
            <w:vMerge/>
          </w:tcPr>
          <w:p w:rsidR="003E3830" w:rsidRDefault="003E3830" w:rsidP="004B6AF9"/>
        </w:tc>
      </w:tr>
      <w:tr w:rsidR="003E3830" w:rsidRPr="006656EC" w:rsidTr="00032DEC">
        <w:trPr>
          <w:trHeight w:val="1365"/>
        </w:trPr>
        <w:tc>
          <w:tcPr>
            <w:tcW w:w="2749" w:type="pct"/>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E826AA" w:rsidRDefault="00E826AA" w:rsidP="00E826AA">
            <w:pPr>
              <w:spacing w:line="360" w:lineRule="auto"/>
              <w:rPr>
                <w:b/>
                <w:bCs/>
              </w:rPr>
            </w:pPr>
            <w:r>
              <w:rPr>
                <w:b/>
                <w:bCs/>
              </w:rPr>
              <w:t xml:space="preserve">Impfteams in </w:t>
            </w:r>
            <w:r w:rsidRPr="00E826AA">
              <w:rPr>
                <w:b/>
                <w:bCs/>
              </w:rPr>
              <w:t xml:space="preserve">Stadt </w:t>
            </w:r>
            <w:r w:rsidR="00032DEC">
              <w:rPr>
                <w:b/>
                <w:bCs/>
              </w:rPr>
              <w:t xml:space="preserve">und Landkreis </w:t>
            </w:r>
            <w:r w:rsidR="0090010B">
              <w:rPr>
                <w:b/>
                <w:bCs/>
              </w:rPr>
              <w:t>mit</w:t>
            </w:r>
            <w:r w:rsidRPr="00E826AA">
              <w:rPr>
                <w:b/>
                <w:bCs/>
              </w:rPr>
              <w:t xml:space="preserve"> </w:t>
            </w:r>
          </w:p>
          <w:p w:rsidR="00E826AA" w:rsidRDefault="00E826AA" w:rsidP="00E826AA">
            <w:pPr>
              <w:spacing w:line="360" w:lineRule="auto"/>
              <w:rPr>
                <w:b/>
                <w:bCs/>
              </w:rPr>
            </w:pPr>
            <w:r w:rsidRPr="00E826AA">
              <w:rPr>
                <w:b/>
                <w:bCs/>
              </w:rPr>
              <w:t>an Omikron angepasste</w:t>
            </w:r>
            <w:r w:rsidR="0090010B">
              <w:rPr>
                <w:b/>
                <w:bCs/>
              </w:rPr>
              <w:t>n</w:t>
            </w:r>
            <w:r w:rsidRPr="00E826AA">
              <w:rPr>
                <w:b/>
                <w:bCs/>
              </w:rPr>
              <w:t xml:space="preserve"> Corona-Impfstoffe</w:t>
            </w:r>
            <w:r w:rsidR="0090010B">
              <w:rPr>
                <w:b/>
                <w:bCs/>
              </w:rPr>
              <w:t>n</w:t>
            </w:r>
          </w:p>
          <w:p w:rsidR="00032DEC" w:rsidRPr="00E826AA" w:rsidRDefault="00032DEC" w:rsidP="00E826AA">
            <w:pPr>
              <w:spacing w:line="360" w:lineRule="auto"/>
              <w:rPr>
                <w:b/>
                <w:bCs/>
              </w:rPr>
            </w:pPr>
          </w:p>
          <w:p w:rsidR="00E826AA" w:rsidRPr="00E826AA" w:rsidRDefault="00E826AA" w:rsidP="00E826AA">
            <w:pPr>
              <w:spacing w:line="360" w:lineRule="auto"/>
              <w:jc w:val="both"/>
              <w:rPr>
                <w:lang w:eastAsia="en-US"/>
              </w:rPr>
            </w:pPr>
            <w:r w:rsidRPr="00E826AA">
              <w:rPr>
                <w:b/>
              </w:rPr>
              <w:t>Osnabrück.</w:t>
            </w:r>
            <w:r>
              <w:t xml:space="preserve"> </w:t>
            </w:r>
            <w:r w:rsidR="00DF3D34">
              <w:t>D</w:t>
            </w:r>
            <w:r w:rsidR="00DF3D34" w:rsidRPr="00E826AA">
              <w:t>ie speziell auf die Omikron-Subvariante</w:t>
            </w:r>
            <w:r w:rsidR="0090010B">
              <w:t>n</w:t>
            </w:r>
            <w:r w:rsidR="00DF3D34" w:rsidRPr="00E826AA">
              <w:t xml:space="preserve"> BA.</w:t>
            </w:r>
            <w:r w:rsidR="00DF3D34">
              <w:t>4</w:t>
            </w:r>
            <w:r w:rsidR="0090010B">
              <w:t xml:space="preserve"> und BA.</w:t>
            </w:r>
            <w:r w:rsidR="00DF3D34">
              <w:t>5</w:t>
            </w:r>
            <w:r w:rsidR="00DF3D34" w:rsidRPr="00E826AA">
              <w:t xml:space="preserve"> angepassten Corona-Impfstoffe von Biontech/Pfizer und Moderna</w:t>
            </w:r>
            <w:r w:rsidR="0090010B">
              <w:t>,</w:t>
            </w:r>
            <w:r w:rsidR="00DF3D34" w:rsidRPr="00E826AA">
              <w:t xml:space="preserve"> </w:t>
            </w:r>
            <w:r w:rsidR="0090010B">
              <w:t xml:space="preserve">die sogenannten </w:t>
            </w:r>
            <w:r w:rsidR="0090010B">
              <w:rPr>
                <w:color w:val="191919"/>
                <w:shd w:val="clear" w:color="auto" w:fill="FFFFFF"/>
              </w:rPr>
              <w:t>bivalente</w:t>
            </w:r>
            <w:r w:rsidR="0090010B">
              <w:rPr>
                <w:color w:val="191919"/>
                <w:shd w:val="clear" w:color="auto" w:fill="FFFFFF"/>
              </w:rPr>
              <w:t>n</w:t>
            </w:r>
            <w:r w:rsidR="0090010B">
              <w:rPr>
                <w:color w:val="191919"/>
                <w:shd w:val="clear" w:color="auto" w:fill="FFFFFF"/>
              </w:rPr>
              <w:t xml:space="preserve"> mRNA-Präp</w:t>
            </w:r>
            <w:r w:rsidR="0090010B" w:rsidRPr="0090010B">
              <w:rPr>
                <w:color w:val="191919"/>
                <w:shd w:val="clear" w:color="auto" w:fill="FFFFFF"/>
              </w:rPr>
              <w:t>arat</w:t>
            </w:r>
            <w:r w:rsidR="0090010B">
              <w:rPr>
                <w:color w:val="191919"/>
                <w:shd w:val="clear" w:color="auto" w:fill="FFFFFF"/>
              </w:rPr>
              <w:t>e</w:t>
            </w:r>
            <w:r w:rsidR="0090010B" w:rsidRPr="0090010B">
              <w:rPr>
                <w:color w:val="191919"/>
                <w:shd w:val="clear" w:color="auto" w:fill="FFFFFF"/>
              </w:rPr>
              <w:t xml:space="preserve"> von </w:t>
            </w:r>
            <w:r w:rsidR="0090010B" w:rsidRPr="0090010B">
              <w:rPr>
                <w:bCs/>
              </w:rPr>
              <w:t>BioNTech (Comirnaty Orig./BA.4-5</w:t>
            </w:r>
            <w:r w:rsidR="0090010B" w:rsidRPr="0090010B">
              <w:rPr>
                <w:bCs/>
              </w:rPr>
              <w:t xml:space="preserve">), </w:t>
            </w:r>
            <w:r w:rsidR="00DF3D34">
              <w:t xml:space="preserve">werden </w:t>
            </w:r>
            <w:r w:rsidR="0090010B">
              <w:t>ab</w:t>
            </w:r>
            <w:r>
              <w:t xml:space="preserve"> kommenden Dienstag</w:t>
            </w:r>
            <w:r w:rsidR="0090010B">
              <w:t>, 27. September,</w:t>
            </w:r>
            <w:r w:rsidRPr="00E826AA">
              <w:t xml:space="preserve"> </w:t>
            </w:r>
            <w:r w:rsidR="0090010B">
              <w:t>auch bei</w:t>
            </w:r>
            <w:bookmarkStart w:id="0" w:name="_GoBack"/>
            <w:bookmarkEnd w:id="0"/>
            <w:r w:rsidRPr="00E826AA">
              <w:t xml:space="preserve"> den stationären Impfzentren sowie bei den mobilen Impfteams in der Region Osnabrück verfügbar sein. </w:t>
            </w:r>
          </w:p>
          <w:p w:rsidR="00E826AA" w:rsidRPr="00E826AA" w:rsidRDefault="00E826AA" w:rsidP="00E826AA">
            <w:pPr>
              <w:spacing w:line="360" w:lineRule="auto"/>
              <w:jc w:val="both"/>
            </w:pPr>
          </w:p>
          <w:p w:rsidR="00E826AA" w:rsidRPr="00E826AA" w:rsidRDefault="00E826AA" w:rsidP="00E826AA">
            <w:pPr>
              <w:spacing w:line="360" w:lineRule="auto"/>
              <w:jc w:val="both"/>
            </w:pPr>
            <w:r w:rsidRPr="00E826AA">
              <w:t xml:space="preserve">Die angepassten Impfstoffe sind ausschließlich für Auffrischungsimpfungen ab zwölf Jahren </w:t>
            </w:r>
            <w:r w:rsidRPr="00E826AA">
              <w:lastRenderedPageBreak/>
              <w:t>vorgesehen. Sie können sowohl für eine Dritt-, als auch für Viertimpfung nach vorheriger Impfung mit den schon länger vorhandenen Impfstoffen der Hersteller eingesetzt werden. Voraussetzung für eine Drittimpfung ist, dass die Zweitimpfung mindestens drei Monate zurückliegt. Viertimpfungen sind für Menschen ab 60 Jahren, Bewohner und Betre</w:t>
            </w:r>
            <w:r>
              <w:t>ute in Einrichtungen der Pflege</w:t>
            </w:r>
            <w:r w:rsidRPr="00E826AA">
              <w:t xml:space="preserve"> und Tätige in medizinischen Einrichtungen und Pflegeeinrichtungen</w:t>
            </w:r>
            <w:r>
              <w:t>. Es</w:t>
            </w:r>
            <w:r w:rsidRPr="00E826AA">
              <w:t xml:space="preserve"> gilt grundsätzlich ein Mindestabstand von sechs Monaten zur Drittimpfung. Gesunde Kinder unter zwölf Jahren benötigen nach derzeitiger STIKO-Empfehlung keine Auffrischungsimpfung. Die Grundimmunisierung wird</w:t>
            </w:r>
            <w:r>
              <w:t xml:space="preserve"> weiterhin an allen Standorten in der Region Osnabrück</w:t>
            </w:r>
            <w:r w:rsidRPr="00E826AA">
              <w:t xml:space="preserve"> angeboten.</w:t>
            </w:r>
          </w:p>
          <w:p w:rsidR="00E826AA" w:rsidRPr="00E826AA" w:rsidRDefault="00E826AA" w:rsidP="00E826AA">
            <w:pPr>
              <w:spacing w:line="360" w:lineRule="auto"/>
              <w:jc w:val="both"/>
            </w:pPr>
          </w:p>
          <w:p w:rsidR="00E826AA" w:rsidRDefault="00E826AA" w:rsidP="00E826AA">
            <w:pPr>
              <w:spacing w:line="360" w:lineRule="auto"/>
              <w:jc w:val="both"/>
            </w:pPr>
            <w:r w:rsidRPr="00E826AA">
              <w:t xml:space="preserve">Darüber hinaus </w:t>
            </w:r>
            <w:r w:rsidR="00B30A61">
              <w:t>steht in</w:t>
            </w:r>
            <w:r w:rsidRPr="00E826AA">
              <w:t xml:space="preserve"> Stadt und Landkreis auch </w:t>
            </w:r>
            <w:r w:rsidR="00B30A61">
              <w:t xml:space="preserve">jetzt neu der </w:t>
            </w:r>
            <w:r w:rsidRPr="00E826AA">
              <w:t xml:space="preserve">Impfstoff von </w:t>
            </w:r>
            <w:r w:rsidR="00B30A61">
              <w:t>Novavax für die Auffrischungsimpfung zur Verfügung.</w:t>
            </w:r>
            <w:r w:rsidRPr="00E826AA">
              <w:t xml:space="preserve"> Dabei handelt es sich im einen Totimpfstoff, der für die Grundimmunisierung von Personen zwischen 18 und 50 Jahren eingesetzt wird. Eine zweite Impfung mit diesem Impfstoff ist vier Wochen nach Gabe der ersten Impfdosis vorgesehen. Auch dieser Impfstoff st</w:t>
            </w:r>
            <w:r w:rsidR="00032DEC">
              <w:t>eht voraussichtlich ab kommenden</w:t>
            </w:r>
            <w:r w:rsidRPr="00E826AA">
              <w:t xml:space="preserve"> Dienstag zur Verfügung.</w:t>
            </w:r>
            <w:r w:rsidR="00DF3D34">
              <w:t xml:space="preserve"> </w:t>
            </w:r>
          </w:p>
          <w:p w:rsidR="00DF3D34" w:rsidRDefault="00DF3D34" w:rsidP="00E826AA">
            <w:pPr>
              <w:spacing w:line="360" w:lineRule="auto"/>
              <w:jc w:val="both"/>
            </w:pPr>
          </w:p>
          <w:p w:rsidR="00DF3D34" w:rsidRPr="00E826AA" w:rsidRDefault="00DF3D34" w:rsidP="00E826AA">
            <w:pPr>
              <w:spacing w:line="360" w:lineRule="auto"/>
              <w:jc w:val="both"/>
            </w:pPr>
            <w:r>
              <w:t xml:space="preserve">Alle anderen Impfstoffe sind ebenfalls weiterhin im Angebot. </w:t>
            </w:r>
          </w:p>
          <w:p w:rsidR="00E826AA" w:rsidRPr="00E826AA" w:rsidRDefault="00E826AA" w:rsidP="00E826AA">
            <w:pPr>
              <w:spacing w:line="360" w:lineRule="auto"/>
              <w:jc w:val="both"/>
            </w:pPr>
          </w:p>
          <w:p w:rsidR="00BC3A8F" w:rsidRPr="00032DEC" w:rsidRDefault="00E826AA" w:rsidP="00E826AA">
            <w:pPr>
              <w:spacing w:line="360" w:lineRule="auto"/>
              <w:jc w:val="both"/>
            </w:pPr>
            <w:r w:rsidRPr="00032DEC">
              <w:t xml:space="preserve">In der Stadt Osnabrück gibt es zwei Impfzentren. Das Zentrum in der Sedanstraße 109 ist dienstags bis samstags von 8.15 bis 16.30 Uhr geöffnet, </w:t>
            </w:r>
            <w:r w:rsidR="00032DEC" w:rsidRPr="00032DEC">
              <w:t xml:space="preserve">das </w:t>
            </w:r>
            <w:r w:rsidR="00032DEC" w:rsidRPr="00032DEC">
              <w:lastRenderedPageBreak/>
              <w:t>andere</w:t>
            </w:r>
            <w:r w:rsidRPr="00032DEC">
              <w:t xml:space="preserve"> in der Hakenstraße 6 montags bis freitags von 9.15 bis 17.30 Uhr.</w:t>
            </w:r>
          </w:p>
          <w:p w:rsidR="00032DEC" w:rsidRPr="00032DEC" w:rsidRDefault="00032DEC" w:rsidP="00BC3A8F"/>
          <w:p w:rsidR="00BC3A8F" w:rsidRPr="00032DEC" w:rsidRDefault="00980BDB" w:rsidP="00BC3A8F">
            <w:r w:rsidRPr="00032DEC">
              <w:t xml:space="preserve">Die </w:t>
            </w:r>
            <w:r w:rsidR="00BC3A8F" w:rsidRPr="00032DEC">
              <w:t xml:space="preserve">Adressen und Öffnungszeiten </w:t>
            </w:r>
            <w:r w:rsidR="00032DEC" w:rsidRPr="00032DEC">
              <w:t>im Landkreis Osnabrück</w:t>
            </w:r>
            <w:r w:rsidR="00BC3A8F" w:rsidRPr="00032DEC">
              <w:t>:</w:t>
            </w:r>
          </w:p>
          <w:p w:rsidR="00BC3A8F" w:rsidRPr="00032DEC" w:rsidRDefault="00BC3A8F" w:rsidP="00032DEC">
            <w:r w:rsidRPr="00032DEC">
              <w:rPr>
                <w:u w:val="single"/>
              </w:rPr>
              <w:t>Stationäres Impf-Team Bad Iburg</w:t>
            </w:r>
            <w:r w:rsidRPr="00032DEC">
              <w:t>, Philipp-Sigis</w:t>
            </w:r>
            <w:r w:rsidR="00032DEC" w:rsidRPr="00032DEC">
              <w:t xml:space="preserve">mund-Allee 4, 49186 Bad Iburg. </w:t>
            </w:r>
            <w:r w:rsidRPr="00032DEC">
              <w:t xml:space="preserve">Öffnungszeiten: </w:t>
            </w:r>
            <w:r w:rsidR="00032DEC" w:rsidRPr="00032DEC">
              <w:t>Montag, Dienstag, Mittwoch und Freitag von 10 bis 17 Uhr sowie Donnerstag von 13 bis 20 Uhr und jeden zweiten Samstag von 9 bis 15</w:t>
            </w:r>
            <w:r w:rsidRPr="00032DEC">
              <w:t xml:space="preserve"> Uhr</w:t>
            </w:r>
            <w:r w:rsidR="00032DEC" w:rsidRPr="00032DEC">
              <w:t>.</w:t>
            </w:r>
          </w:p>
          <w:p w:rsidR="00BC3A8F" w:rsidRPr="00032DEC" w:rsidRDefault="00BC3A8F" w:rsidP="00032DEC">
            <w:r w:rsidRPr="00032DEC">
              <w:rPr>
                <w:u w:val="single"/>
              </w:rPr>
              <w:t>Stationäres Impf-Team Bersenbrück</w:t>
            </w:r>
            <w:r w:rsidRPr="00032DEC">
              <w:t>, Bok</w:t>
            </w:r>
            <w:r w:rsidR="00032DEC" w:rsidRPr="00032DEC">
              <w:t>eler Str. 2, 49593 Bersenbrück. Öffnungszeiten: Montag, Dienstag, Mittwoch und Freitag von 11:30 bis17 Uhr, Donnerstag von 13:30 bis 19</w:t>
            </w:r>
            <w:r w:rsidRPr="00032DEC">
              <w:t xml:space="preserve"> Uhr</w:t>
            </w:r>
            <w:r w:rsidR="00032DEC" w:rsidRPr="00032DEC">
              <w:t xml:space="preserve"> und</w:t>
            </w:r>
            <w:r w:rsidRPr="00032DEC">
              <w:t xml:space="preserve"> jeden </w:t>
            </w:r>
            <w:r w:rsidR="00032DEC" w:rsidRPr="00032DEC">
              <w:t>zweiten Samstag von 10 bis 15</w:t>
            </w:r>
            <w:r w:rsidRPr="00032DEC">
              <w:t xml:space="preserve"> Uhr</w:t>
            </w:r>
            <w:r w:rsidR="00032DEC" w:rsidRPr="00032DEC">
              <w:t>.</w:t>
            </w:r>
          </w:p>
          <w:p w:rsidR="00BC3A8F" w:rsidRPr="00032DEC" w:rsidRDefault="00BC3A8F" w:rsidP="00032DEC">
            <w:r w:rsidRPr="00032DEC">
              <w:rPr>
                <w:u w:val="single"/>
              </w:rPr>
              <w:t>Stationäres Impf-Team Melle</w:t>
            </w:r>
            <w:r w:rsidRPr="00032DEC">
              <w:t>, Plett</w:t>
            </w:r>
            <w:r w:rsidR="00032DEC" w:rsidRPr="00032DEC">
              <w:t xml:space="preserve">enberger Str. 42, 49324 Melle. </w:t>
            </w:r>
            <w:r w:rsidRPr="00032DEC">
              <w:t>Öffnungszeiten: Mo</w:t>
            </w:r>
            <w:r w:rsidR="00032DEC" w:rsidRPr="00032DEC">
              <w:t>ntag, Dienstag, Mittwoch und Freitag</w:t>
            </w:r>
            <w:r w:rsidRPr="00032DEC">
              <w:t xml:space="preserve"> v</w:t>
            </w:r>
            <w:r w:rsidR="00032DEC" w:rsidRPr="00032DEC">
              <w:t>on 10 bis 17 Uhr,</w:t>
            </w:r>
            <w:r w:rsidRPr="00032DEC">
              <w:t xml:space="preserve"> Do</w:t>
            </w:r>
            <w:r w:rsidR="00032DEC" w:rsidRPr="00032DEC">
              <w:t>nnerstag von 13 bis 20 Uhr und</w:t>
            </w:r>
            <w:r w:rsidRPr="00032DEC">
              <w:t xml:space="preserve"> jeden </w:t>
            </w:r>
            <w:r w:rsidR="00032DEC" w:rsidRPr="00032DEC">
              <w:t>zweiten Samstag von 9 bis 15</w:t>
            </w:r>
            <w:r w:rsidRPr="00032DEC">
              <w:t xml:space="preserve"> Uhr</w:t>
            </w:r>
            <w:r w:rsidR="00032DEC" w:rsidRPr="00032DEC">
              <w:t>.</w:t>
            </w:r>
          </w:p>
          <w:p w:rsidR="00BC3A8F" w:rsidRPr="00032DEC" w:rsidRDefault="00E826AA" w:rsidP="00E826AA">
            <w:pPr>
              <w:spacing w:line="360" w:lineRule="auto"/>
              <w:jc w:val="both"/>
            </w:pPr>
            <w:r w:rsidRPr="00032DEC">
              <w:t xml:space="preserve"> </w:t>
            </w:r>
          </w:p>
          <w:p w:rsidR="00E826AA" w:rsidRPr="00032DEC" w:rsidRDefault="00E826AA" w:rsidP="00E826AA">
            <w:pPr>
              <w:spacing w:line="360" w:lineRule="auto"/>
              <w:jc w:val="both"/>
            </w:pPr>
            <w:r w:rsidRPr="00032DEC">
              <w:t>Die Stationen des Impfbusses, der an sechs Tagen in der Woche im Stadtgebiet unterwegs</w:t>
            </w:r>
            <w:r w:rsidR="00032DEC" w:rsidRPr="00032DEC">
              <w:t xml:space="preserve"> ist, sowie alle Impfaktionen in</w:t>
            </w:r>
            <w:r w:rsidRPr="00032DEC">
              <w:t xml:space="preserve"> Landkrei</w:t>
            </w:r>
            <w:r w:rsidR="00032DEC" w:rsidRPr="00032DEC">
              <w:t>s und Stadt Osnabrück</w:t>
            </w:r>
            <w:r w:rsidRPr="00032DEC">
              <w:t xml:space="preserve"> sind</w:t>
            </w:r>
            <w:r w:rsidR="00032DEC" w:rsidRPr="00032DEC">
              <w:t xml:space="preserve"> immer aktuell</w:t>
            </w:r>
            <w:r w:rsidRPr="00032DEC">
              <w:t xml:space="preserve"> unter </w:t>
            </w:r>
            <w:hyperlink r:id="rId10" w:history="1">
              <w:r w:rsidRPr="00032DEC">
                <w:rPr>
                  <w:rStyle w:val="Hyperlink"/>
                </w:rPr>
                <w:t>https://corona-os.de/impfen</w:t>
              </w:r>
            </w:hyperlink>
            <w:r w:rsidRPr="00032DEC">
              <w:t xml:space="preserve"> abrufbar.</w:t>
            </w:r>
          </w:p>
          <w:p w:rsidR="00332098" w:rsidRPr="00032DEC" w:rsidRDefault="00E12B49" w:rsidP="00332098">
            <w:pPr>
              <w:spacing w:line="360" w:lineRule="auto"/>
              <w:jc w:val="both"/>
            </w:pPr>
            <w:r w:rsidRPr="00032DEC">
              <w:t>.</w:t>
            </w:r>
          </w:p>
          <w:p w:rsidR="00332098" w:rsidRPr="00E826AA" w:rsidRDefault="00332098" w:rsidP="00332098">
            <w:pPr>
              <w:spacing w:line="360" w:lineRule="auto"/>
              <w:jc w:val="both"/>
            </w:pPr>
          </w:p>
          <w:p w:rsidR="0003417B" w:rsidRPr="00E826AA" w:rsidRDefault="0003417B" w:rsidP="0003417B">
            <w:pPr>
              <w:spacing w:line="360" w:lineRule="auto"/>
              <w:jc w:val="both"/>
            </w:pPr>
          </w:p>
          <w:p w:rsidR="00A75056" w:rsidRPr="00E51EB2" w:rsidRDefault="00A75056" w:rsidP="00A75056">
            <w:pPr>
              <w:spacing w:line="360" w:lineRule="auto"/>
              <w:rPr>
                <w:sz w:val="22"/>
                <w:szCs w:val="22"/>
              </w:rPr>
            </w:pPr>
          </w:p>
          <w:p w:rsidR="00842826" w:rsidRPr="00E51EB2" w:rsidRDefault="00842826" w:rsidP="00A75056">
            <w:pPr>
              <w:spacing w:line="360" w:lineRule="auto"/>
              <w:rPr>
                <w:sz w:val="22"/>
                <w:szCs w:val="22"/>
              </w:rPr>
            </w:pPr>
          </w:p>
          <w:p w:rsidR="004D154F" w:rsidRPr="00F21634" w:rsidRDefault="004D154F" w:rsidP="004F6AEA">
            <w:pPr>
              <w:spacing w:line="360" w:lineRule="auto"/>
            </w:pPr>
            <w:r>
              <w:t xml:space="preserve"> </w:t>
            </w:r>
          </w:p>
        </w:tc>
        <w:tc>
          <w:tcPr>
            <w:tcW w:w="2251" w:type="pct"/>
            <w:vMerge/>
          </w:tcPr>
          <w:p w:rsidR="003E3830" w:rsidRPr="006656EC" w:rsidRDefault="003E3830" w:rsidP="00A57353">
            <w:pPr>
              <w:ind w:right="174"/>
              <w:rPr>
                <w:lang w:val="en-GB"/>
              </w:rPr>
            </w:pPr>
          </w:p>
        </w:tc>
      </w:tr>
      <w:tr w:rsidR="002F3560" w:rsidRPr="006656EC" w:rsidTr="00032DEC">
        <w:trPr>
          <w:trHeight w:val="1365"/>
        </w:trPr>
        <w:tc>
          <w:tcPr>
            <w:tcW w:w="2749" w:type="pct"/>
            <w:gridSpan w:val="2"/>
          </w:tcPr>
          <w:p w:rsidR="002F3560" w:rsidRPr="006656EC" w:rsidRDefault="002F3560" w:rsidP="00A57353">
            <w:pPr>
              <w:ind w:right="174"/>
              <w:rPr>
                <w:rFonts w:ascii="Arial" w:hAnsi="Arial" w:cs="Arial"/>
                <w:sz w:val="22"/>
                <w:lang w:val="en-GB"/>
              </w:rPr>
            </w:pPr>
          </w:p>
        </w:tc>
        <w:tc>
          <w:tcPr>
            <w:tcW w:w="2251" w:type="pct"/>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C2" w:rsidRDefault="005F5CC2">
      <w:r>
        <w:separator/>
      </w:r>
    </w:p>
  </w:endnote>
  <w:endnote w:type="continuationSeparator" w:id="0">
    <w:p w:rsidR="005F5CC2" w:rsidRDefault="005F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C2" w:rsidRDefault="005F5CC2">
      <w:r>
        <w:separator/>
      </w:r>
    </w:p>
  </w:footnote>
  <w:footnote w:type="continuationSeparator" w:id="0">
    <w:p w:rsidR="005F5CC2" w:rsidRDefault="005F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0571362"/>
    <w:multiLevelType w:val="hybridMultilevel"/>
    <w:tmpl w:val="8780D9C2"/>
    <w:lvl w:ilvl="0" w:tplc="118C72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F3D1B4D"/>
    <w:multiLevelType w:val="hybridMultilevel"/>
    <w:tmpl w:val="405672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2DEC"/>
    <w:rsid w:val="0003417B"/>
    <w:rsid w:val="00040C64"/>
    <w:rsid w:val="000712A5"/>
    <w:rsid w:val="00092302"/>
    <w:rsid w:val="00094F0C"/>
    <w:rsid w:val="000E40AB"/>
    <w:rsid w:val="000E6018"/>
    <w:rsid w:val="000F675D"/>
    <w:rsid w:val="00101E87"/>
    <w:rsid w:val="001104D2"/>
    <w:rsid w:val="0012546F"/>
    <w:rsid w:val="001276A9"/>
    <w:rsid w:val="00135A1C"/>
    <w:rsid w:val="00170F7E"/>
    <w:rsid w:val="0017114D"/>
    <w:rsid w:val="001923DD"/>
    <w:rsid w:val="001B499B"/>
    <w:rsid w:val="001C1D37"/>
    <w:rsid w:val="001E260A"/>
    <w:rsid w:val="001F01D8"/>
    <w:rsid w:val="002067CA"/>
    <w:rsid w:val="00237A24"/>
    <w:rsid w:val="002C105F"/>
    <w:rsid w:val="002C4C92"/>
    <w:rsid w:val="002E1F76"/>
    <w:rsid w:val="002F3560"/>
    <w:rsid w:val="00306856"/>
    <w:rsid w:val="00312293"/>
    <w:rsid w:val="00332098"/>
    <w:rsid w:val="0033420F"/>
    <w:rsid w:val="00350887"/>
    <w:rsid w:val="003519B2"/>
    <w:rsid w:val="00352375"/>
    <w:rsid w:val="00353CC8"/>
    <w:rsid w:val="003574EA"/>
    <w:rsid w:val="003B014C"/>
    <w:rsid w:val="003B1847"/>
    <w:rsid w:val="003C433D"/>
    <w:rsid w:val="003C5149"/>
    <w:rsid w:val="003D6D2A"/>
    <w:rsid w:val="003E3830"/>
    <w:rsid w:val="003F3C22"/>
    <w:rsid w:val="0041765D"/>
    <w:rsid w:val="004262BE"/>
    <w:rsid w:val="00480481"/>
    <w:rsid w:val="00482A13"/>
    <w:rsid w:val="004873C6"/>
    <w:rsid w:val="004B6AF9"/>
    <w:rsid w:val="004C0317"/>
    <w:rsid w:val="004D154F"/>
    <w:rsid w:val="004E70B6"/>
    <w:rsid w:val="004F4BC5"/>
    <w:rsid w:val="004F6AEA"/>
    <w:rsid w:val="00510D69"/>
    <w:rsid w:val="005312D7"/>
    <w:rsid w:val="005422D1"/>
    <w:rsid w:val="00570AEE"/>
    <w:rsid w:val="00573645"/>
    <w:rsid w:val="0058721F"/>
    <w:rsid w:val="00593D8A"/>
    <w:rsid w:val="005948F5"/>
    <w:rsid w:val="005952F0"/>
    <w:rsid w:val="005C3C93"/>
    <w:rsid w:val="005D1CF6"/>
    <w:rsid w:val="005E0BF1"/>
    <w:rsid w:val="005E3CF0"/>
    <w:rsid w:val="005F5CC2"/>
    <w:rsid w:val="006209C6"/>
    <w:rsid w:val="0062486B"/>
    <w:rsid w:val="006331E9"/>
    <w:rsid w:val="00633257"/>
    <w:rsid w:val="00633462"/>
    <w:rsid w:val="006656EC"/>
    <w:rsid w:val="00666A82"/>
    <w:rsid w:val="00680588"/>
    <w:rsid w:val="00691101"/>
    <w:rsid w:val="006B0B1F"/>
    <w:rsid w:val="006E3FD5"/>
    <w:rsid w:val="006E63C3"/>
    <w:rsid w:val="007373ED"/>
    <w:rsid w:val="0074534A"/>
    <w:rsid w:val="00750DEA"/>
    <w:rsid w:val="007620D5"/>
    <w:rsid w:val="00773F2E"/>
    <w:rsid w:val="007913DD"/>
    <w:rsid w:val="007C55FD"/>
    <w:rsid w:val="007E4D2E"/>
    <w:rsid w:val="007F5370"/>
    <w:rsid w:val="007F58BD"/>
    <w:rsid w:val="007F6759"/>
    <w:rsid w:val="00803F4A"/>
    <w:rsid w:val="00817FC0"/>
    <w:rsid w:val="008260F5"/>
    <w:rsid w:val="00827688"/>
    <w:rsid w:val="00836146"/>
    <w:rsid w:val="00842826"/>
    <w:rsid w:val="008429D9"/>
    <w:rsid w:val="00866653"/>
    <w:rsid w:val="00897533"/>
    <w:rsid w:val="00897BAA"/>
    <w:rsid w:val="008B6475"/>
    <w:rsid w:val="008B6810"/>
    <w:rsid w:val="008C4703"/>
    <w:rsid w:val="008F0554"/>
    <w:rsid w:val="008F5C9E"/>
    <w:rsid w:val="0090010B"/>
    <w:rsid w:val="00904A4D"/>
    <w:rsid w:val="0092385F"/>
    <w:rsid w:val="009330BB"/>
    <w:rsid w:val="00954D60"/>
    <w:rsid w:val="00980BDB"/>
    <w:rsid w:val="00990FC7"/>
    <w:rsid w:val="009A53D9"/>
    <w:rsid w:val="009C0CB4"/>
    <w:rsid w:val="009E1FD8"/>
    <w:rsid w:val="009E7D01"/>
    <w:rsid w:val="009F263B"/>
    <w:rsid w:val="00A10114"/>
    <w:rsid w:val="00A1791A"/>
    <w:rsid w:val="00A473A3"/>
    <w:rsid w:val="00A57353"/>
    <w:rsid w:val="00A75056"/>
    <w:rsid w:val="00AC395E"/>
    <w:rsid w:val="00B10956"/>
    <w:rsid w:val="00B21EAF"/>
    <w:rsid w:val="00B30A61"/>
    <w:rsid w:val="00B55732"/>
    <w:rsid w:val="00B768F3"/>
    <w:rsid w:val="00B94DD1"/>
    <w:rsid w:val="00BC2D79"/>
    <w:rsid w:val="00BC3A8F"/>
    <w:rsid w:val="00BC75BD"/>
    <w:rsid w:val="00BD6CCD"/>
    <w:rsid w:val="00BE0959"/>
    <w:rsid w:val="00BE1B32"/>
    <w:rsid w:val="00BF6975"/>
    <w:rsid w:val="00C01BBD"/>
    <w:rsid w:val="00C10A76"/>
    <w:rsid w:val="00C27445"/>
    <w:rsid w:val="00C43A12"/>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DF3D34"/>
    <w:rsid w:val="00E12B49"/>
    <w:rsid w:val="00E22C8A"/>
    <w:rsid w:val="00E24CAA"/>
    <w:rsid w:val="00E41F1A"/>
    <w:rsid w:val="00E44484"/>
    <w:rsid w:val="00E472D5"/>
    <w:rsid w:val="00E51EB2"/>
    <w:rsid w:val="00E56B1E"/>
    <w:rsid w:val="00E57E2C"/>
    <w:rsid w:val="00E826AA"/>
    <w:rsid w:val="00E94813"/>
    <w:rsid w:val="00E94F41"/>
    <w:rsid w:val="00EA37E8"/>
    <w:rsid w:val="00ED7F8B"/>
    <w:rsid w:val="00EE7C56"/>
    <w:rsid w:val="00EF00CA"/>
    <w:rsid w:val="00EF0BD0"/>
    <w:rsid w:val="00EF75E2"/>
    <w:rsid w:val="00F02C11"/>
    <w:rsid w:val="00F21634"/>
    <w:rsid w:val="00F21827"/>
    <w:rsid w:val="00F42482"/>
    <w:rsid w:val="00F95723"/>
    <w:rsid w:val="00FA41E2"/>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C16A5B"/>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3941360">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193110311">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59631637">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 w:id="1989550584">
      <w:bodyDiv w:val="1"/>
      <w:marLeft w:val="0"/>
      <w:marRight w:val="0"/>
      <w:marTop w:val="0"/>
      <w:marBottom w:val="0"/>
      <w:divBdr>
        <w:top w:val="none" w:sz="0" w:space="0" w:color="auto"/>
        <w:left w:val="none" w:sz="0" w:space="0" w:color="auto"/>
        <w:bottom w:val="none" w:sz="0" w:space="0" w:color="auto"/>
        <w:right w:val="none" w:sz="0" w:space="0" w:color="auto"/>
      </w:divBdr>
    </w:div>
    <w:div w:id="21140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rona-os.de/impfen" TargetMode="Externa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3271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2</cp:revision>
  <cp:lastPrinted>2020-05-06T14:35:00Z</cp:lastPrinted>
  <dcterms:created xsi:type="dcterms:W3CDTF">2022-09-23T11:26:00Z</dcterms:created>
  <dcterms:modified xsi:type="dcterms:W3CDTF">2022-09-23T11:26:00Z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