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14:paraId="66891C48" w14:textId="77777777" w:rsidTr="00F168B0">
        <w:trPr>
          <w:cantSplit/>
          <w:trHeight w:val="1451"/>
        </w:trPr>
        <w:tc>
          <w:tcPr>
            <w:tcW w:w="7797" w:type="dxa"/>
          </w:tcPr>
          <w:p w14:paraId="482EB147" w14:textId="77777777" w:rsidR="007D243E" w:rsidRPr="00491D88" w:rsidRDefault="007D243E" w:rsidP="00F168B0">
            <w:pPr>
              <w:rPr>
                <w:rFonts w:cs="Arial"/>
                <w:sz w:val="12"/>
              </w:rPr>
            </w:pPr>
          </w:p>
        </w:tc>
        <w:tc>
          <w:tcPr>
            <w:tcW w:w="2126" w:type="dxa"/>
            <w:vAlign w:val="center"/>
          </w:tcPr>
          <w:p w14:paraId="4253C310" w14:textId="77777777"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26FF4F57" wp14:editId="2B9377A7">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14:paraId="226F2796" w14:textId="77777777" w:rsidR="007D243E" w:rsidRPr="00491D88" w:rsidRDefault="007D243E" w:rsidP="00F168B0">
            <w:pPr>
              <w:spacing w:line="360" w:lineRule="auto"/>
              <w:jc w:val="right"/>
              <w:rPr>
                <w:rFonts w:cs="Arial"/>
                <w:b/>
                <w:spacing w:val="32"/>
                <w:sz w:val="32"/>
              </w:rPr>
            </w:pPr>
          </w:p>
          <w:p w14:paraId="1D4E791D" w14:textId="77777777" w:rsidR="007D243E" w:rsidRPr="00491D88" w:rsidRDefault="007D243E" w:rsidP="00F168B0">
            <w:pPr>
              <w:spacing w:line="360" w:lineRule="auto"/>
              <w:jc w:val="right"/>
              <w:rPr>
                <w:rFonts w:cs="Arial"/>
                <w:sz w:val="12"/>
              </w:rPr>
            </w:pPr>
          </w:p>
        </w:tc>
      </w:tr>
      <w:tr w:rsidR="00936F47" w:rsidRPr="00020217" w14:paraId="19811F6F" w14:textId="77777777" w:rsidTr="00F168B0">
        <w:trPr>
          <w:gridAfter w:val="1"/>
          <w:wAfter w:w="2126" w:type="dxa"/>
          <w:cantSplit/>
        </w:trPr>
        <w:tc>
          <w:tcPr>
            <w:tcW w:w="7797" w:type="dxa"/>
          </w:tcPr>
          <w:p w14:paraId="350EF2B0" w14:textId="77777777"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5361FA3D" wp14:editId="70C9D551">
                      <wp:simplePos x="0" y="0"/>
                      <wp:positionH relativeFrom="column">
                        <wp:posOffset>4910455</wp:posOffset>
                      </wp:positionH>
                      <wp:positionV relativeFrom="paragraph">
                        <wp:posOffset>15240</wp:posOffset>
                      </wp:positionV>
                      <wp:extent cx="13023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302385" cy="1060450"/>
                              </a:xfrm>
                              <a:prstGeom prst="rect">
                                <a:avLst/>
                              </a:prstGeom>
                              <a:noFill/>
                              <a:ln w="6350">
                                <a:noFill/>
                              </a:ln>
                            </wps:spPr>
                            <wps:txbx>
                              <w:txbxContent>
                                <w:p w14:paraId="0D8B0EBE"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501 - 4719</w:t>
                                  </w:r>
                                </w:p>
                                <w:p w14:paraId="2AC1346A"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4719</w:t>
                                  </w:r>
                                </w:p>
                                <w:p w14:paraId="5104927C" w14:textId="77777777" w:rsidR="00936F47" w:rsidRPr="00734335" w:rsidRDefault="00936F47"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sidR="0082677C">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936F47" w:rsidRPr="00734335" w:rsidRDefault="00936F47"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936F47" w:rsidRPr="00734335" w:rsidRDefault="0082677C"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Susanne Menke</w:t>
                                  </w:r>
                                </w:p>
                                <w:p w14:paraId="7BBEEFD3"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67036317"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07FD69DC" w14:textId="6769EC5D" w:rsidR="00936F47" w:rsidRPr="00EE2986" w:rsidRDefault="009E2398"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29</w:t>
                                  </w:r>
                                  <w:r w:rsidR="0082677C">
                                    <w:rPr>
                                      <w:rFonts w:cs="Arial"/>
                                      <w:noProof/>
                                      <w:color w:val="6F89AC" w:themeColor="accent1"/>
                                      <w:sz w:val="22"/>
                                      <w:szCs w:val="22"/>
                                    </w:rPr>
                                    <w:t>.09</w:t>
                                  </w:r>
                                  <w:r w:rsidR="00EE2986">
                                    <w:rPr>
                                      <w:rFonts w:cs="Arial"/>
                                      <w:noProof/>
                                      <w:color w:val="6F89AC" w:themeColor="accent1"/>
                                      <w:sz w:val="22"/>
                                      <w:szCs w:val="22"/>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1FA3D" id="_x0000_t202" coordsize="21600,21600" o:spt="202" path="m,l,21600r21600,l21600,xe">
                      <v:stroke joinstyle="miter"/>
                      <v:path gradientshapeok="t" o:connecttype="rect"/>
                    </v:shapetype>
                    <v:shape id="Textfeld 3" o:spid="_x0000_s1026" type="#_x0000_t202" style="position:absolute;left:0;text-align:left;margin-left:386.65pt;margin-top:1.2pt;width:102.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" filled="f" stroked="f" strokeweight=".5pt">
                      <v:textbox inset="0,0,0,0">
                        <w:txbxContent>
                          <w:p w14:paraId="0D8B0EBE"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501 - 4719</w:t>
                            </w:r>
                          </w:p>
                          <w:p w14:paraId="2AC1346A"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4719</w:t>
                            </w:r>
                          </w:p>
                          <w:p w14:paraId="5104927C" w14:textId="77777777" w:rsidR="00936F47" w:rsidRPr="00734335" w:rsidRDefault="00936F47"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sidR="0082677C">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936F47" w:rsidRPr="00734335" w:rsidRDefault="00936F47"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936F47" w:rsidRPr="00734335" w:rsidRDefault="0082677C"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Susanne Menke</w:t>
                            </w:r>
                          </w:p>
                          <w:p w14:paraId="7BBEEFD3"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67036317"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07FD69DC" w14:textId="6769EC5D" w:rsidR="00936F47" w:rsidRPr="00EE2986" w:rsidRDefault="009E2398"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29</w:t>
                            </w:r>
                            <w:r w:rsidR="0082677C">
                              <w:rPr>
                                <w:rFonts w:cs="Arial"/>
                                <w:noProof/>
                                <w:color w:val="6F89AC" w:themeColor="accent1"/>
                                <w:sz w:val="22"/>
                                <w:szCs w:val="22"/>
                              </w:rPr>
                              <w:t>.09</w:t>
                            </w:r>
                            <w:r w:rsidR="00EE2986">
                              <w:rPr>
                                <w:rFonts w:cs="Arial"/>
                                <w:noProof/>
                                <w:color w:val="6F89AC" w:themeColor="accent1"/>
                                <w:sz w:val="22"/>
                                <w:szCs w:val="22"/>
                              </w:rPr>
                              <w:t>.2022</w:t>
                            </w:r>
                          </w:p>
                        </w:txbxContent>
                      </v:textbox>
                    </v:shape>
                  </w:pict>
                </mc:Fallback>
              </mc:AlternateContent>
            </w:r>
            <w:proofErr w:type="spellStart"/>
            <w:r w:rsidRPr="00790DA3">
              <w:rPr>
                <w:rFonts w:cs="Arial"/>
                <w:sz w:val="13"/>
              </w:rPr>
              <w:t>oleg</w:t>
            </w:r>
            <w:proofErr w:type="spellEnd"/>
            <w:r w:rsidRPr="00790DA3">
              <w:rPr>
                <w:rFonts w:cs="Arial"/>
                <w:sz w:val="13"/>
              </w:rPr>
              <w:t xml:space="preserve"> </w:t>
            </w:r>
            <w:r w:rsidRPr="00790DA3">
              <w:rPr>
                <w:rFonts w:cs="Arial"/>
                <w:sz w:val="8"/>
              </w:rPr>
              <w:sym w:font="Wingdings" w:char="F06C"/>
            </w:r>
            <w:r w:rsidRPr="00790DA3">
              <w:rPr>
                <w:rFonts w:cs="Arial"/>
                <w:sz w:val="13"/>
              </w:rPr>
              <w:t xml:space="preserve"> Am </w:t>
            </w:r>
            <w:proofErr w:type="spellStart"/>
            <w:r w:rsidRPr="00790DA3">
              <w:rPr>
                <w:rFonts w:cs="Arial"/>
                <w:sz w:val="13"/>
              </w:rPr>
              <w:t>Schölerberg</w:t>
            </w:r>
            <w:proofErr w:type="spellEnd"/>
            <w:r w:rsidRPr="00790DA3">
              <w:rPr>
                <w:rFonts w:cs="Arial"/>
                <w:sz w:val="13"/>
              </w:rPr>
              <w:t xml:space="preserve"> 1 </w:t>
            </w:r>
            <w:r w:rsidRPr="00790DA3">
              <w:rPr>
                <w:rFonts w:cs="Arial"/>
                <w:sz w:val="8"/>
              </w:rPr>
              <w:sym w:font="Wingdings" w:char="F06C"/>
            </w:r>
            <w:r w:rsidRPr="00790DA3">
              <w:rPr>
                <w:rFonts w:cs="Arial"/>
                <w:sz w:val="13"/>
              </w:rPr>
              <w:t xml:space="preserve"> 49082 Osnabrück</w:t>
            </w:r>
          </w:p>
        </w:tc>
      </w:tr>
    </w:tbl>
    <w:p w14:paraId="099FA278" w14:textId="77777777" w:rsidR="00587D10" w:rsidRDefault="00587D10" w:rsidP="00587D10">
      <w:pPr>
        <w:framePr w:w="4581" w:h="2160" w:hSpace="142" w:wrap="around" w:vAnchor="text" w:hAnchor="page" w:x="1399" w:y="1533"/>
        <w:rPr>
          <w:rFonts w:cs="Arial"/>
          <w:sz w:val="22"/>
        </w:rPr>
      </w:pPr>
    </w:p>
    <w:p w14:paraId="4C289176" w14:textId="77777777" w:rsidR="0082677C" w:rsidRPr="00753656" w:rsidRDefault="0082677C" w:rsidP="0082677C">
      <w:pPr>
        <w:jc w:val="both"/>
        <w:rPr>
          <w:rFonts w:cs="Arial"/>
          <w:b/>
          <w:sz w:val="44"/>
          <w:szCs w:val="44"/>
        </w:rPr>
      </w:pPr>
      <w:r w:rsidRPr="00753656">
        <w:rPr>
          <w:rFonts w:cs="Arial"/>
          <w:b/>
          <w:sz w:val="44"/>
          <w:szCs w:val="44"/>
        </w:rPr>
        <w:t>PRESSEMITTEILUNG</w:t>
      </w:r>
    </w:p>
    <w:p w14:paraId="4B613ABA" w14:textId="77777777" w:rsidR="0028142E" w:rsidRDefault="0028142E" w:rsidP="00701D11">
      <w:pPr>
        <w:tabs>
          <w:tab w:val="left" w:pos="7655"/>
        </w:tabs>
        <w:ind w:right="1418"/>
        <w:jc w:val="both"/>
        <w:rPr>
          <w:rFonts w:cs="Arial"/>
          <w:szCs w:val="21"/>
        </w:rPr>
      </w:pPr>
    </w:p>
    <w:p w14:paraId="623CA13C" w14:textId="34F411B0" w:rsidR="009E2398" w:rsidRPr="0013685D" w:rsidRDefault="009E2398" w:rsidP="009E2398">
      <w:pPr>
        <w:spacing w:line="360" w:lineRule="auto"/>
        <w:rPr>
          <w:b/>
          <w:sz w:val="28"/>
          <w:szCs w:val="28"/>
        </w:rPr>
      </w:pPr>
      <w:r w:rsidRPr="0013685D">
        <w:rPr>
          <w:b/>
          <w:sz w:val="28"/>
          <w:szCs w:val="28"/>
        </w:rPr>
        <w:t>Neustart für das ehemalige Homann-Gelände in Dissen</w:t>
      </w:r>
      <w:r>
        <w:rPr>
          <w:b/>
          <w:sz w:val="28"/>
          <w:szCs w:val="28"/>
        </w:rPr>
        <w:t xml:space="preserve"> </w:t>
      </w:r>
      <w:proofErr w:type="spellStart"/>
      <w:r>
        <w:rPr>
          <w:b/>
          <w:sz w:val="28"/>
          <w:szCs w:val="28"/>
        </w:rPr>
        <w:t>aTW</w:t>
      </w:r>
      <w:proofErr w:type="spellEnd"/>
      <w:r w:rsidRPr="0013685D">
        <w:rPr>
          <w:b/>
          <w:sz w:val="28"/>
          <w:szCs w:val="28"/>
        </w:rPr>
        <w:t xml:space="preserve">: </w:t>
      </w:r>
      <w:proofErr w:type="spellStart"/>
      <w:r w:rsidRPr="0013685D">
        <w:rPr>
          <w:b/>
          <w:sz w:val="28"/>
          <w:szCs w:val="28"/>
        </w:rPr>
        <w:t>oleg</w:t>
      </w:r>
      <w:proofErr w:type="spellEnd"/>
      <w:r w:rsidRPr="0013685D">
        <w:rPr>
          <w:b/>
          <w:sz w:val="28"/>
          <w:szCs w:val="28"/>
        </w:rPr>
        <w:t xml:space="preserve"> erwirbt das 13 Hektar große Areal</w:t>
      </w:r>
    </w:p>
    <w:p w14:paraId="3C56E5C1" w14:textId="77777777" w:rsidR="009E2398" w:rsidRPr="009E2398" w:rsidRDefault="009E2398" w:rsidP="009E2398">
      <w:pPr>
        <w:spacing w:line="360" w:lineRule="auto"/>
        <w:rPr>
          <w:sz w:val="22"/>
          <w:szCs w:val="22"/>
        </w:rPr>
      </w:pPr>
      <w:r w:rsidRPr="009E2398">
        <w:rPr>
          <w:sz w:val="22"/>
          <w:szCs w:val="22"/>
        </w:rPr>
        <w:t>Kauf wurde am 29. September notariell beurkundet / Entwicklung des Geländes startet</w:t>
      </w:r>
    </w:p>
    <w:p w14:paraId="72951C4D" w14:textId="77777777" w:rsidR="0082677C" w:rsidRPr="00753656" w:rsidRDefault="0082677C" w:rsidP="0082677C">
      <w:pPr>
        <w:ind w:right="2834"/>
        <w:jc w:val="both"/>
        <w:rPr>
          <w:rFonts w:cs="Arial"/>
          <w:b/>
          <w:sz w:val="22"/>
          <w:szCs w:val="22"/>
        </w:rPr>
      </w:pPr>
    </w:p>
    <w:p w14:paraId="13493A0C" w14:textId="4891BFC7" w:rsidR="009E2398" w:rsidRPr="008132EB" w:rsidRDefault="009E2398" w:rsidP="009E2398">
      <w:pPr>
        <w:spacing w:line="360" w:lineRule="auto"/>
        <w:jc w:val="both"/>
        <w:rPr>
          <w:sz w:val="22"/>
          <w:szCs w:val="22"/>
        </w:rPr>
      </w:pPr>
      <w:r>
        <w:rPr>
          <w:rFonts w:cs="Arial"/>
          <w:b/>
          <w:sz w:val="22"/>
          <w:szCs w:val="22"/>
        </w:rPr>
        <w:t xml:space="preserve">Dissen </w:t>
      </w:r>
      <w:proofErr w:type="spellStart"/>
      <w:r>
        <w:rPr>
          <w:rFonts w:cs="Arial"/>
          <w:b/>
          <w:sz w:val="22"/>
          <w:szCs w:val="22"/>
        </w:rPr>
        <w:t>aTW</w:t>
      </w:r>
      <w:proofErr w:type="spellEnd"/>
      <w:r w:rsidR="0082677C" w:rsidRPr="00753656">
        <w:rPr>
          <w:rFonts w:cs="Arial"/>
          <w:b/>
          <w:sz w:val="22"/>
          <w:szCs w:val="22"/>
        </w:rPr>
        <w:t>.</w:t>
      </w:r>
      <w:r w:rsidR="0082677C" w:rsidRPr="00753656">
        <w:rPr>
          <w:rFonts w:cs="Arial"/>
          <w:sz w:val="22"/>
          <w:szCs w:val="22"/>
        </w:rPr>
        <w:t xml:space="preserve"> </w:t>
      </w:r>
      <w:r w:rsidRPr="008132EB">
        <w:rPr>
          <w:sz w:val="22"/>
          <w:szCs w:val="22"/>
        </w:rPr>
        <w:t xml:space="preserve">Die </w:t>
      </w:r>
      <w:proofErr w:type="spellStart"/>
      <w:r w:rsidRPr="008132EB">
        <w:rPr>
          <w:sz w:val="22"/>
          <w:szCs w:val="22"/>
        </w:rPr>
        <w:t>oleg</w:t>
      </w:r>
      <w:proofErr w:type="spellEnd"/>
      <w:r w:rsidRPr="008132EB">
        <w:rPr>
          <w:sz w:val="22"/>
          <w:szCs w:val="22"/>
        </w:rPr>
        <w:t xml:space="preserve"> Osnabrücker Land - Entwicklungsgesellschaft mbH hat das Areal des ehemaligen Homann-Werkes in Dissen </w:t>
      </w:r>
      <w:proofErr w:type="spellStart"/>
      <w:r w:rsidRPr="008132EB">
        <w:rPr>
          <w:sz w:val="22"/>
          <w:szCs w:val="22"/>
        </w:rPr>
        <w:t>aTW</w:t>
      </w:r>
      <w:proofErr w:type="spellEnd"/>
      <w:r w:rsidRPr="008132EB">
        <w:rPr>
          <w:sz w:val="22"/>
          <w:szCs w:val="22"/>
        </w:rPr>
        <w:t xml:space="preserve"> erworben: Der Verkauf des Grundstücks durch die Homann Feinkost GmbH als Tochter der Unternehmensgruppe Theo Müller wurde am 29. September vollzogen und notariell beurkundet. Die </w:t>
      </w:r>
      <w:proofErr w:type="spellStart"/>
      <w:r w:rsidRPr="008132EB">
        <w:rPr>
          <w:sz w:val="22"/>
          <w:szCs w:val="22"/>
        </w:rPr>
        <w:t>oleg</w:t>
      </w:r>
      <w:proofErr w:type="spellEnd"/>
      <w:r w:rsidRPr="008132EB">
        <w:rPr>
          <w:sz w:val="22"/>
          <w:szCs w:val="22"/>
        </w:rPr>
        <w:t xml:space="preserve"> wird die rund 13 Hektar umfassenden Flächen im Auftrag der Stadt Dissen </w:t>
      </w:r>
      <w:proofErr w:type="spellStart"/>
      <w:r w:rsidRPr="008132EB">
        <w:rPr>
          <w:sz w:val="22"/>
          <w:szCs w:val="22"/>
        </w:rPr>
        <w:t>aTW</w:t>
      </w:r>
      <w:proofErr w:type="spellEnd"/>
      <w:r w:rsidRPr="008132EB">
        <w:rPr>
          <w:sz w:val="22"/>
          <w:szCs w:val="22"/>
        </w:rPr>
        <w:t xml:space="preserve"> entwickeln und vermarkten. Wie die Folgenutzung in Zukunft gestaltet werden kann, ist noch nicht entschieden. Konkrete Planungen dazu sollen jetzt unter Beteiligung des Rates der Stadt Dissen </w:t>
      </w:r>
      <w:proofErr w:type="spellStart"/>
      <w:r w:rsidRPr="008132EB">
        <w:rPr>
          <w:sz w:val="22"/>
          <w:szCs w:val="22"/>
        </w:rPr>
        <w:t>aTW</w:t>
      </w:r>
      <w:proofErr w:type="spellEnd"/>
      <w:r w:rsidRPr="008132EB">
        <w:rPr>
          <w:sz w:val="22"/>
          <w:szCs w:val="22"/>
        </w:rPr>
        <w:t xml:space="preserve"> sowie von Bürgerinnen und Bürgern starten. </w:t>
      </w:r>
    </w:p>
    <w:p w14:paraId="0F1D419E" w14:textId="53405730" w:rsidR="009E2398" w:rsidRPr="008132EB" w:rsidRDefault="009E2398" w:rsidP="009E2398">
      <w:pPr>
        <w:spacing w:line="360" w:lineRule="auto"/>
        <w:jc w:val="both"/>
        <w:rPr>
          <w:sz w:val="22"/>
          <w:szCs w:val="22"/>
        </w:rPr>
      </w:pPr>
      <w:r w:rsidRPr="008132EB">
        <w:rPr>
          <w:sz w:val="22"/>
          <w:szCs w:val="22"/>
        </w:rPr>
        <w:t xml:space="preserve">„Der Kauf des Homann-Geländes ist ein wichtiger Schritt für den Landkreis und insbesondere für die positive Weiterentwicklungsoption in Dissen“, bewerten </w:t>
      </w:r>
      <w:proofErr w:type="spellStart"/>
      <w:r w:rsidRPr="008132EB">
        <w:rPr>
          <w:sz w:val="22"/>
          <w:szCs w:val="22"/>
        </w:rPr>
        <w:t>oleg</w:t>
      </w:r>
      <w:proofErr w:type="spellEnd"/>
      <w:r w:rsidRPr="008132EB">
        <w:rPr>
          <w:sz w:val="22"/>
          <w:szCs w:val="22"/>
        </w:rPr>
        <w:t xml:space="preserve">-Geschäftsführer Siegfried Averhage und die Prokuristin der </w:t>
      </w:r>
      <w:proofErr w:type="spellStart"/>
      <w:r w:rsidRPr="008132EB">
        <w:rPr>
          <w:sz w:val="22"/>
          <w:szCs w:val="22"/>
        </w:rPr>
        <w:t>oleg</w:t>
      </w:r>
      <w:proofErr w:type="spellEnd"/>
      <w:r w:rsidRPr="008132EB">
        <w:rPr>
          <w:sz w:val="22"/>
          <w:szCs w:val="22"/>
        </w:rPr>
        <w:t xml:space="preserve">, Susanne </w:t>
      </w:r>
      <w:r w:rsidRPr="008132EB">
        <w:rPr>
          <w:sz w:val="22"/>
          <w:szCs w:val="22"/>
        </w:rPr>
        <w:lastRenderedPageBreak/>
        <w:t>Menke</w:t>
      </w:r>
      <w:r w:rsidR="003E7AEE">
        <w:rPr>
          <w:sz w:val="22"/>
          <w:szCs w:val="22"/>
        </w:rPr>
        <w:t>,</w:t>
      </w:r>
      <w:r w:rsidRPr="008132EB">
        <w:rPr>
          <w:sz w:val="22"/>
          <w:szCs w:val="22"/>
        </w:rPr>
        <w:t xml:space="preserve"> den Kaufvertrag positiv. „Für den Ankauf hatte es mehrere Interessenten gegeben. Nach zahlreichen Gesprächen und Verhandlungen konnten wir uns jedoch einig werden und haben jetzt die Chance, die Zukunft des Betriebsgeländes neu und positiv zu gestalten. Diese Chance ergreifen wir gerne und freuen uns auf die kommende Herausforderung“, so die </w:t>
      </w:r>
      <w:proofErr w:type="spellStart"/>
      <w:r w:rsidRPr="008132EB">
        <w:rPr>
          <w:sz w:val="22"/>
          <w:szCs w:val="22"/>
        </w:rPr>
        <w:t>oleg</w:t>
      </w:r>
      <w:proofErr w:type="spellEnd"/>
      <w:r w:rsidRPr="008132EB">
        <w:rPr>
          <w:sz w:val="22"/>
          <w:szCs w:val="22"/>
        </w:rPr>
        <w:t xml:space="preserve"> weiter. </w:t>
      </w:r>
    </w:p>
    <w:p w14:paraId="2EA34307" w14:textId="77777777" w:rsidR="009E2398" w:rsidRDefault="009E2398" w:rsidP="009E2398">
      <w:pPr>
        <w:spacing w:line="360" w:lineRule="auto"/>
        <w:jc w:val="both"/>
        <w:rPr>
          <w:sz w:val="22"/>
          <w:szCs w:val="22"/>
        </w:rPr>
      </w:pPr>
      <w:r w:rsidRPr="008132EB">
        <w:rPr>
          <w:sz w:val="22"/>
          <w:szCs w:val="22"/>
        </w:rPr>
        <w:t xml:space="preserve">Die Landrätin des Landkreises Osnabrück, Anna Kebschull, betont den gemeinsamen Erfolg vieler Beteiligter mit Federführung der </w:t>
      </w:r>
      <w:proofErr w:type="spellStart"/>
      <w:r w:rsidRPr="008132EB">
        <w:rPr>
          <w:sz w:val="22"/>
          <w:szCs w:val="22"/>
        </w:rPr>
        <w:t>oleg</w:t>
      </w:r>
      <w:proofErr w:type="spellEnd"/>
      <w:r w:rsidRPr="008132EB">
        <w:rPr>
          <w:sz w:val="22"/>
          <w:szCs w:val="22"/>
        </w:rPr>
        <w:t xml:space="preserve">: „Es ist für uns zentral, dass eine Einigung erzielt werden konnte und wir nun Klarheit über die Zukunft des ehemaligen Betriebsgeländes des Homann-Werkes gewonnen haben. Ich bin sicher, dass wir durch den Kauf der Flächen eine gute Basis haben, um das Areal erfolgreich und gemeinsam mit den Bürgerinnen und Bürgern entwickeln zu können. Das ist bei aller Wehmut eine gute Nachricht für die gesamte Region“, betonte die Landrätin. </w:t>
      </w:r>
    </w:p>
    <w:p w14:paraId="553279AE" w14:textId="1EFED7CC" w:rsidR="009E2398" w:rsidRPr="008132EB" w:rsidRDefault="009E2398" w:rsidP="009E2398">
      <w:pPr>
        <w:spacing w:line="360" w:lineRule="auto"/>
        <w:jc w:val="both"/>
        <w:rPr>
          <w:sz w:val="22"/>
          <w:szCs w:val="22"/>
        </w:rPr>
      </w:pPr>
      <w:r w:rsidRPr="008132EB">
        <w:rPr>
          <w:sz w:val="22"/>
          <w:szCs w:val="22"/>
        </w:rPr>
        <w:t xml:space="preserve">Für Dissens Bürgermeister Eugen Görlitz ist der Kauf durch die </w:t>
      </w:r>
      <w:proofErr w:type="spellStart"/>
      <w:r w:rsidRPr="008132EB">
        <w:rPr>
          <w:sz w:val="22"/>
          <w:szCs w:val="22"/>
        </w:rPr>
        <w:t>oleg</w:t>
      </w:r>
      <w:proofErr w:type="spellEnd"/>
      <w:r w:rsidRPr="008132EB">
        <w:rPr>
          <w:sz w:val="22"/>
          <w:szCs w:val="22"/>
        </w:rPr>
        <w:t xml:space="preserve"> ein wichtiges Signal für den Neustart: „Nach den schwierigen Zeiten, bedingt durch die Aufgabe des Homann-Stammsitzes in Dissen </w:t>
      </w:r>
      <w:proofErr w:type="spellStart"/>
      <w:r w:rsidRPr="008132EB">
        <w:rPr>
          <w:sz w:val="22"/>
          <w:szCs w:val="22"/>
        </w:rPr>
        <w:t>aTW</w:t>
      </w:r>
      <w:proofErr w:type="spellEnd"/>
      <w:r w:rsidRPr="008132EB">
        <w:rPr>
          <w:sz w:val="22"/>
          <w:szCs w:val="22"/>
        </w:rPr>
        <w:t xml:space="preserve"> und die Einstellung der Produktion, insbesondere für die ehemaligen Mitarbeiterinnen und Mitarbeiter, aber auch für die regionale Wirtschaft, gibt es nun wieder einen Lichtblick. Unsere Anstrengungen gehen vor diesem Hintergrund dahin, das Areal einer neuen Verwendung zuzuführen und einen unbelasteten Neustart zu ermöglichen.“ Der Bürgermeister dankte der </w:t>
      </w:r>
      <w:proofErr w:type="spellStart"/>
      <w:r w:rsidRPr="008132EB">
        <w:rPr>
          <w:sz w:val="22"/>
          <w:szCs w:val="22"/>
        </w:rPr>
        <w:t>oleg</w:t>
      </w:r>
      <w:proofErr w:type="spellEnd"/>
      <w:r w:rsidRPr="008132EB">
        <w:rPr>
          <w:sz w:val="22"/>
          <w:szCs w:val="22"/>
        </w:rPr>
        <w:t xml:space="preserve"> für die vertrauensvolle Zusammenarbeit, die bereits auf dem Gelände des ehemaligen Krankenhauses bewiesen wurde. </w:t>
      </w:r>
    </w:p>
    <w:p w14:paraId="328FADC5" w14:textId="4E85B724" w:rsidR="009E2398" w:rsidRPr="008132EB" w:rsidRDefault="009E2398" w:rsidP="009E2398">
      <w:pPr>
        <w:spacing w:line="360" w:lineRule="auto"/>
        <w:jc w:val="both"/>
        <w:rPr>
          <w:sz w:val="22"/>
          <w:szCs w:val="22"/>
        </w:rPr>
      </w:pPr>
      <w:r w:rsidRPr="008132EB">
        <w:rPr>
          <w:sz w:val="22"/>
          <w:szCs w:val="22"/>
        </w:rPr>
        <w:t xml:space="preserve">Bei der Entwicklung und Nachnutzung des Areals baut die </w:t>
      </w:r>
      <w:proofErr w:type="spellStart"/>
      <w:r w:rsidRPr="008132EB">
        <w:rPr>
          <w:sz w:val="22"/>
          <w:szCs w:val="22"/>
        </w:rPr>
        <w:t>oleg</w:t>
      </w:r>
      <w:proofErr w:type="spellEnd"/>
      <w:r w:rsidRPr="008132EB">
        <w:rPr>
          <w:sz w:val="22"/>
          <w:szCs w:val="22"/>
        </w:rPr>
        <w:t xml:space="preserve"> auf ein gemeinsames Konzept mit der Stadt Dissen </w:t>
      </w:r>
      <w:proofErr w:type="spellStart"/>
      <w:r w:rsidRPr="008132EB">
        <w:rPr>
          <w:sz w:val="22"/>
          <w:szCs w:val="22"/>
        </w:rPr>
        <w:t>aTW</w:t>
      </w:r>
      <w:proofErr w:type="spellEnd"/>
      <w:r w:rsidRPr="008132EB">
        <w:rPr>
          <w:sz w:val="22"/>
          <w:szCs w:val="22"/>
        </w:rPr>
        <w:t xml:space="preserve"> auf, mit dem bereits 2016 bei Bekanntwerden der ersten Rückzugspläne durch die Unternehmensgruppe Theo Müller begonnen wurde. Dieses mit Unterstützung eines Planungsbüros begonnene „Integrierte städtebauliche Entwicklungskonzept (ISEK)“ soll nun unter Beteiligung der Bürgerinnen und Bürger von Dissen </w:t>
      </w:r>
      <w:proofErr w:type="spellStart"/>
      <w:r w:rsidRPr="008132EB">
        <w:rPr>
          <w:sz w:val="22"/>
          <w:szCs w:val="22"/>
        </w:rPr>
        <w:t>aTW</w:t>
      </w:r>
      <w:proofErr w:type="spellEnd"/>
      <w:r w:rsidRPr="008132EB">
        <w:rPr>
          <w:sz w:val="22"/>
          <w:szCs w:val="22"/>
        </w:rPr>
        <w:t xml:space="preserve"> weiter fortgeschrieben werden. Bis dato wurde das Gebiet als Industriegebiet für </w:t>
      </w:r>
      <w:r w:rsidRPr="008132EB">
        <w:rPr>
          <w:sz w:val="22"/>
          <w:szCs w:val="22"/>
        </w:rPr>
        <w:lastRenderedPageBreak/>
        <w:t xml:space="preserve">Lebensmitteltechnik genutzt. Aufgrund der Lage in der Innenstadt soll dies nach den bisherigen Planungen der Vergangenheit angehören. Stattdessen könnten nach bisherigen Überlegungen unterschiedliche Bedürfnisse berücksichtigt werden und der Fokus auf so genanntes „nicht störendes Gewerbe“ und öffentliche Einrichtungen liegen. Zudem ist der Raum für Wohnbebauung geeignet. </w:t>
      </w:r>
    </w:p>
    <w:p w14:paraId="4D0A28F8" w14:textId="6FE4D54B" w:rsidR="009E2398" w:rsidRPr="008132EB" w:rsidRDefault="009E2398" w:rsidP="009E2398">
      <w:pPr>
        <w:spacing w:line="360" w:lineRule="auto"/>
        <w:jc w:val="both"/>
        <w:rPr>
          <w:sz w:val="22"/>
          <w:szCs w:val="22"/>
        </w:rPr>
      </w:pPr>
      <w:r w:rsidRPr="008132EB">
        <w:rPr>
          <w:sz w:val="22"/>
          <w:szCs w:val="22"/>
        </w:rPr>
        <w:t xml:space="preserve">Der Geschäftsführer der Homann Feinkost GmbH, Marian Heinz, ist sich sicher, dass das große Areal bei der </w:t>
      </w:r>
      <w:proofErr w:type="spellStart"/>
      <w:r w:rsidRPr="008132EB">
        <w:rPr>
          <w:sz w:val="22"/>
          <w:szCs w:val="22"/>
        </w:rPr>
        <w:t>oleg</w:t>
      </w:r>
      <w:proofErr w:type="spellEnd"/>
      <w:r w:rsidRPr="008132EB">
        <w:rPr>
          <w:sz w:val="22"/>
          <w:szCs w:val="22"/>
        </w:rPr>
        <w:t xml:space="preserve"> in guten Händen ist: „Es war uns sehr daran gelegen, eine zukunftsgerechte Lösung für den Standort Dissen zu finden. Gleichzeitig sind wir froh, dass wir uns jetzt voll und ganz auf den Ausbau des Standortes Bad Essen und die Mitarbeitergewin</w:t>
      </w:r>
      <w:r w:rsidR="002C5B19">
        <w:rPr>
          <w:sz w:val="22"/>
          <w:szCs w:val="22"/>
        </w:rPr>
        <w:t>nung dort konzentrieren können.</w:t>
      </w:r>
      <w:r w:rsidR="008B5072" w:rsidRPr="008B5072">
        <w:rPr>
          <w:sz w:val="22"/>
          <w:szCs w:val="22"/>
        </w:rPr>
        <w:t xml:space="preserve"> </w:t>
      </w:r>
      <w:r w:rsidR="008B5072" w:rsidRPr="008B5072">
        <w:rPr>
          <w:sz w:val="22"/>
          <w:szCs w:val="22"/>
        </w:rPr>
        <w:t>Wir haben viele spannende Stellen zu besetzen!“</w:t>
      </w:r>
      <w:r w:rsidRPr="008132EB">
        <w:rPr>
          <w:sz w:val="22"/>
          <w:szCs w:val="22"/>
        </w:rPr>
        <w:t xml:space="preserve"> Die Übergabe des Geländes an die </w:t>
      </w:r>
      <w:proofErr w:type="spellStart"/>
      <w:r w:rsidRPr="008132EB">
        <w:rPr>
          <w:sz w:val="22"/>
          <w:szCs w:val="22"/>
        </w:rPr>
        <w:t>oleg</w:t>
      </w:r>
      <w:proofErr w:type="spellEnd"/>
      <w:r w:rsidRPr="008132EB">
        <w:rPr>
          <w:sz w:val="22"/>
          <w:szCs w:val="22"/>
        </w:rPr>
        <w:t xml:space="preserve"> wird zum 30.12.2022 erfolgen. Dann sollen die gesamte Dressing-Produktion nach Bad Essen verlagert und alle notwendigen Schritte zur Betriebsstilllegung erfolgt sein.</w:t>
      </w:r>
      <w:bookmarkStart w:id="0" w:name="_GoBack"/>
      <w:bookmarkEnd w:id="0"/>
    </w:p>
    <w:p w14:paraId="19D29A19" w14:textId="77777777" w:rsidR="009E2398" w:rsidRPr="008132EB" w:rsidRDefault="009E2398" w:rsidP="009E2398">
      <w:pPr>
        <w:spacing w:line="360" w:lineRule="auto"/>
        <w:jc w:val="both"/>
        <w:rPr>
          <w:sz w:val="22"/>
          <w:szCs w:val="22"/>
        </w:rPr>
      </w:pPr>
    </w:p>
    <w:p w14:paraId="3F6E690E" w14:textId="77777777" w:rsidR="009E2398" w:rsidRPr="008132EB" w:rsidRDefault="009E2398" w:rsidP="009E2398">
      <w:pPr>
        <w:spacing w:line="360" w:lineRule="auto"/>
        <w:jc w:val="both"/>
        <w:rPr>
          <w:sz w:val="22"/>
          <w:szCs w:val="22"/>
          <w:u w:val="single"/>
        </w:rPr>
      </w:pPr>
      <w:r w:rsidRPr="008132EB">
        <w:rPr>
          <w:sz w:val="22"/>
          <w:szCs w:val="22"/>
          <w:u w:val="single"/>
        </w:rPr>
        <w:t xml:space="preserve">Bildunterschrift: </w:t>
      </w:r>
    </w:p>
    <w:p w14:paraId="09C10BDD" w14:textId="77777777" w:rsidR="009E2398" w:rsidRPr="008132EB" w:rsidRDefault="009E2398" w:rsidP="009E2398">
      <w:pPr>
        <w:spacing w:line="360" w:lineRule="auto"/>
        <w:jc w:val="both"/>
        <w:rPr>
          <w:i/>
          <w:sz w:val="22"/>
          <w:szCs w:val="22"/>
        </w:rPr>
      </w:pPr>
      <w:proofErr w:type="spellStart"/>
      <w:r w:rsidRPr="008132EB">
        <w:rPr>
          <w:sz w:val="22"/>
          <w:szCs w:val="22"/>
        </w:rPr>
        <w:t>o</w:t>
      </w:r>
      <w:r w:rsidRPr="008132EB">
        <w:rPr>
          <w:i/>
          <w:sz w:val="22"/>
          <w:szCs w:val="22"/>
        </w:rPr>
        <w:t>leg</w:t>
      </w:r>
      <w:proofErr w:type="spellEnd"/>
      <w:r w:rsidRPr="008132EB">
        <w:rPr>
          <w:i/>
          <w:sz w:val="22"/>
          <w:szCs w:val="22"/>
        </w:rPr>
        <w:t xml:space="preserve">-Prokuristin Susanne Menke (v. li. n. </w:t>
      </w:r>
      <w:proofErr w:type="spellStart"/>
      <w:r w:rsidRPr="008132EB">
        <w:rPr>
          <w:i/>
          <w:sz w:val="22"/>
          <w:szCs w:val="22"/>
        </w:rPr>
        <w:t>re</w:t>
      </w:r>
      <w:proofErr w:type="spellEnd"/>
      <w:r w:rsidRPr="008132EB">
        <w:rPr>
          <w:i/>
          <w:sz w:val="22"/>
          <w:szCs w:val="22"/>
        </w:rPr>
        <w:t xml:space="preserve">.), </w:t>
      </w:r>
      <w:proofErr w:type="spellStart"/>
      <w:r w:rsidRPr="008132EB">
        <w:rPr>
          <w:i/>
          <w:sz w:val="22"/>
          <w:szCs w:val="22"/>
        </w:rPr>
        <w:t>oleg</w:t>
      </w:r>
      <w:proofErr w:type="spellEnd"/>
      <w:r w:rsidRPr="008132EB">
        <w:rPr>
          <w:i/>
          <w:sz w:val="22"/>
          <w:szCs w:val="22"/>
        </w:rPr>
        <w:t>-Geschäftsführer Siegfried Averhage, Landrätin Anna Kebschull, Jürgen Färber (Müller Group), Marian Heinz (Geschäftsführer Homann Feinkost GmbH) und Dissens</w:t>
      </w:r>
      <w:r w:rsidRPr="008132EB">
        <w:rPr>
          <w:i/>
          <w:sz w:val="22"/>
          <w:szCs w:val="22"/>
          <w:u w:val="single"/>
        </w:rPr>
        <w:t xml:space="preserve"> </w:t>
      </w:r>
      <w:r w:rsidRPr="008132EB">
        <w:rPr>
          <w:i/>
          <w:sz w:val="22"/>
          <w:szCs w:val="22"/>
        </w:rPr>
        <w:t xml:space="preserve">Bürgermeister Eugen Görlitz blicken positiv in die Zukunft des ehemaligen Homann-Areals. </w:t>
      </w:r>
    </w:p>
    <w:p w14:paraId="4DF0E597" w14:textId="77777777" w:rsidR="009E2398" w:rsidRPr="008132EB" w:rsidRDefault="009E2398" w:rsidP="009E2398">
      <w:pPr>
        <w:spacing w:line="360" w:lineRule="auto"/>
        <w:jc w:val="both"/>
        <w:rPr>
          <w:i/>
          <w:sz w:val="22"/>
          <w:szCs w:val="22"/>
          <w:u w:val="single"/>
        </w:rPr>
      </w:pPr>
      <w:r w:rsidRPr="008132EB">
        <w:rPr>
          <w:i/>
          <w:sz w:val="22"/>
          <w:szCs w:val="22"/>
        </w:rPr>
        <w:t xml:space="preserve">Foto: Miriam </w:t>
      </w:r>
      <w:proofErr w:type="spellStart"/>
      <w:r w:rsidRPr="008132EB">
        <w:rPr>
          <w:i/>
          <w:sz w:val="22"/>
          <w:szCs w:val="22"/>
        </w:rPr>
        <w:t>Loeskow-Bücker</w:t>
      </w:r>
      <w:proofErr w:type="spellEnd"/>
    </w:p>
    <w:p w14:paraId="2DA4B68F" w14:textId="77777777" w:rsidR="009E2398" w:rsidRPr="008132EB" w:rsidRDefault="009E2398" w:rsidP="009E2398">
      <w:pPr>
        <w:spacing w:line="360" w:lineRule="auto"/>
        <w:jc w:val="both"/>
        <w:rPr>
          <w:sz w:val="22"/>
          <w:szCs w:val="22"/>
        </w:rPr>
      </w:pPr>
    </w:p>
    <w:p w14:paraId="26042803" w14:textId="37B5A57C" w:rsidR="0082677C" w:rsidRPr="00CF546A" w:rsidRDefault="0082677C" w:rsidP="009E2398">
      <w:pPr>
        <w:spacing w:line="360" w:lineRule="auto"/>
        <w:rPr>
          <w:rFonts w:cs="Arial"/>
          <w:sz w:val="22"/>
          <w:szCs w:val="22"/>
        </w:rPr>
      </w:pPr>
    </w:p>
    <w:p w14:paraId="087FB995" w14:textId="77777777" w:rsidR="00020217" w:rsidRPr="005059C0" w:rsidRDefault="00020217" w:rsidP="0082677C">
      <w:pPr>
        <w:tabs>
          <w:tab w:val="left" w:pos="7655"/>
        </w:tabs>
        <w:ind w:right="1418"/>
        <w:jc w:val="both"/>
        <w:rPr>
          <w:rFonts w:cs="Arial"/>
          <w:sz w:val="22"/>
          <w:szCs w:val="22"/>
        </w:rPr>
      </w:pPr>
    </w:p>
    <w:sectPr w:rsidR="00020217" w:rsidRPr="005059C0" w:rsidSect="0082677C">
      <w:footerReference w:type="first" r:id="rId8"/>
      <w:pgSz w:w="11907" w:h="16840" w:code="9"/>
      <w:pgMar w:top="1418" w:right="4677"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6390" w14:textId="77777777" w:rsidR="00EE73AF" w:rsidRDefault="00EE73AF">
      <w:r>
        <w:separator/>
      </w:r>
    </w:p>
  </w:endnote>
  <w:endnote w:type="continuationSeparator" w:id="0">
    <w:p w14:paraId="7B6D75ED" w14:textId="77777777" w:rsidR="00EE73AF" w:rsidRDefault="00EE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020217" w14:paraId="266E8625" w14:textId="77777777" w:rsidTr="005A2B47">
      <w:trPr>
        <w:trHeight w:val="694"/>
      </w:trPr>
      <w:tc>
        <w:tcPr>
          <w:tcW w:w="1928" w:type="dxa"/>
        </w:tcPr>
        <w:p w14:paraId="2F74B13F"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14:paraId="2AC08046"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14:paraId="3605D4B9" w14:textId="77777777" w:rsidR="00020217" w:rsidRPr="00995350" w:rsidRDefault="00995350"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w:t>
          </w:r>
          <w:r w:rsidR="00011BD0" w:rsidRPr="00995350">
            <w:rPr>
              <w:rFonts w:cs="Arial"/>
              <w:color w:val="6F89AC" w:themeColor="accent1"/>
              <w:spacing w:val="2"/>
              <w:sz w:val="13"/>
              <w:szCs w:val="13"/>
            </w:rPr>
            <w:t>g</w:t>
          </w:r>
          <w:r w:rsidRPr="00995350">
            <w:rPr>
              <w:rFonts w:cs="Arial"/>
              <w:color w:val="6F89AC" w:themeColor="accent1"/>
              <w:spacing w:val="2"/>
              <w:sz w:val="13"/>
              <w:szCs w:val="13"/>
            </w:rPr>
            <w:t>sg</w:t>
          </w:r>
          <w:r w:rsidR="00011BD0" w:rsidRPr="00995350">
            <w:rPr>
              <w:rFonts w:cs="Arial"/>
              <w:color w:val="6F89AC" w:themeColor="accent1"/>
              <w:spacing w:val="2"/>
              <w:sz w:val="13"/>
              <w:szCs w:val="13"/>
            </w:rPr>
            <w:t>esellschaft mbH</w:t>
          </w:r>
        </w:p>
        <w:p w14:paraId="18BE8823"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14:paraId="607972C4" w14:textId="77777777" w:rsidR="00020217" w:rsidRPr="005A2B47" w:rsidRDefault="00020217"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14:paraId="2E34B10E"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14:paraId="3679367C"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14:paraId="632C0910"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Kebschull </w:t>
          </w:r>
        </w:p>
        <w:p w14:paraId="2B6498BC" w14:textId="77777777"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14:paraId="4D4429AE" w14:textId="77777777" w:rsidR="00020217" w:rsidRPr="005A2B47" w:rsidRDefault="00207B0D"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w:t>
          </w:r>
          <w:r w:rsidR="00020217" w:rsidRPr="00995350">
            <w:rPr>
              <w:rFonts w:cs="Arial"/>
              <w:color w:val="6F89AC" w:themeColor="accent1"/>
              <w:spacing w:val="2"/>
              <w:sz w:val="13"/>
              <w:szCs w:val="13"/>
            </w:rPr>
            <w:t>Anna Kebschull</w:t>
          </w:r>
        </w:p>
      </w:tc>
      <w:tc>
        <w:tcPr>
          <w:tcW w:w="1675" w:type="dxa"/>
        </w:tcPr>
        <w:p w14:paraId="4AFFD9B1"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14:paraId="544F4134"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Siegfried Averhage</w:t>
          </w:r>
        </w:p>
        <w:p w14:paraId="7F8542ED"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Amtsgericht Osnabrück </w:t>
          </w:r>
        </w:p>
        <w:p w14:paraId="3665728A" w14:textId="77777777"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HR</w:t>
          </w:r>
          <w:r w:rsidR="00020217" w:rsidRPr="00995350">
            <w:rPr>
              <w:rFonts w:cs="Arial"/>
              <w:color w:val="6F89AC" w:themeColor="accent1"/>
              <w:spacing w:val="2"/>
              <w:sz w:val="13"/>
              <w:szCs w:val="13"/>
            </w:rPr>
            <w:t>B 17587</w:t>
          </w:r>
        </w:p>
        <w:p w14:paraId="6CE7D619" w14:textId="77777777" w:rsidR="00207B0D" w:rsidRPr="005A2B47" w:rsidRDefault="00207B0D" w:rsidP="00D924A3">
          <w:pPr>
            <w:tabs>
              <w:tab w:val="left" w:pos="7711"/>
            </w:tabs>
            <w:spacing w:after="0" w:line="264" w:lineRule="auto"/>
            <w:ind w:right="-1135"/>
            <w:rPr>
              <w:rFonts w:cs="Arial"/>
              <w:color w:val="6F89AC" w:themeColor="accent1"/>
              <w:spacing w:val="2"/>
              <w:sz w:val="14"/>
              <w:szCs w:val="14"/>
            </w:rPr>
          </w:pPr>
          <w:r w:rsidRPr="00995350">
            <w:rPr>
              <w:rFonts w:cs="Arial"/>
              <w:color w:val="6F89AC" w:themeColor="accent1"/>
              <w:spacing w:val="2"/>
              <w:sz w:val="13"/>
              <w:szCs w:val="13"/>
            </w:rPr>
            <w:t>UST ID: DE 167</w:t>
          </w:r>
          <w:r w:rsidR="00995350">
            <w:rPr>
              <w:rFonts w:cs="Arial"/>
              <w:color w:val="6F89AC" w:themeColor="accent1"/>
              <w:spacing w:val="2"/>
              <w:sz w:val="13"/>
              <w:szCs w:val="13"/>
            </w:rPr>
            <w:t xml:space="preserve"> </w:t>
          </w:r>
          <w:r w:rsidRPr="00995350">
            <w:rPr>
              <w:rFonts w:cs="Arial"/>
              <w:color w:val="6F89AC" w:themeColor="accent1"/>
              <w:spacing w:val="2"/>
              <w:sz w:val="13"/>
              <w:szCs w:val="13"/>
            </w:rPr>
            <w:t>113</w:t>
          </w:r>
          <w:r w:rsidR="00995350">
            <w:rPr>
              <w:rFonts w:cs="Arial"/>
              <w:color w:val="6F89AC" w:themeColor="accent1"/>
              <w:spacing w:val="2"/>
              <w:sz w:val="13"/>
              <w:szCs w:val="13"/>
            </w:rPr>
            <w:t xml:space="preserve"> </w:t>
          </w:r>
          <w:r w:rsidRPr="00995350">
            <w:rPr>
              <w:rFonts w:cs="Arial"/>
              <w:color w:val="6F89AC" w:themeColor="accent1"/>
              <w:spacing w:val="2"/>
              <w:sz w:val="13"/>
              <w:szCs w:val="13"/>
            </w:rPr>
            <w:t>836</w:t>
          </w:r>
        </w:p>
      </w:tc>
      <w:tc>
        <w:tcPr>
          <w:tcW w:w="2693" w:type="dxa"/>
        </w:tcPr>
        <w:p w14:paraId="150D5F3E" w14:textId="77777777" w:rsidR="00020217" w:rsidRPr="00995350" w:rsidRDefault="00020217" w:rsidP="00D924A3">
          <w:pPr>
            <w:spacing w:after="0"/>
            <w:rPr>
              <w:rFonts w:cs="Arial"/>
              <w:color w:val="6F89AC" w:themeColor="accent1"/>
              <w:sz w:val="13"/>
              <w:szCs w:val="13"/>
            </w:rPr>
          </w:pPr>
          <w:r w:rsidRPr="00995350">
            <w:rPr>
              <w:rFonts w:cs="Arial"/>
              <w:color w:val="6F89AC" w:themeColor="accent1"/>
              <w:sz w:val="13"/>
              <w:szCs w:val="13"/>
            </w:rPr>
            <w:t>Bankverbindung:</w:t>
          </w:r>
        </w:p>
        <w:p w14:paraId="3D0B7F34"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14:paraId="7D1BB1C6" w14:textId="77777777" w:rsidR="005A2B47" w:rsidRPr="00995350" w:rsidRDefault="005A2B47"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14:paraId="2A7FE880" w14:textId="77777777" w:rsidR="005A2B47" w:rsidRPr="00995350" w:rsidRDefault="005A2B47" w:rsidP="00D924A3">
          <w:pPr>
            <w:tabs>
              <w:tab w:val="left" w:pos="426"/>
              <w:tab w:val="left" w:pos="7711"/>
            </w:tabs>
            <w:spacing w:after="0" w:line="264" w:lineRule="auto"/>
            <w:ind w:right="-1135"/>
            <w:rPr>
              <w:rFonts w:cs="Arial"/>
              <w:color w:val="6F89AC" w:themeColor="accent1"/>
              <w:sz w:val="13"/>
              <w:szCs w:val="13"/>
            </w:rPr>
          </w:pPr>
          <w:r w:rsidRPr="00995350">
            <w:rPr>
              <w:rFonts w:cs="Arial"/>
              <w:color w:val="6F89AC" w:themeColor="accent1"/>
              <w:spacing w:val="2"/>
              <w:sz w:val="13"/>
              <w:szCs w:val="13"/>
            </w:rPr>
            <w:t>BIC:</w:t>
          </w:r>
          <w:r w:rsidRPr="00995350">
            <w:rPr>
              <w:rFonts w:cs="Arial"/>
              <w:color w:val="6F89AC" w:themeColor="accent1"/>
              <w:spacing w:val="2"/>
              <w:sz w:val="13"/>
              <w:szCs w:val="13"/>
            </w:rPr>
            <w:tab/>
            <w:t>NOLADE22XX</w:t>
          </w:r>
        </w:p>
        <w:p w14:paraId="08073BD0" w14:textId="77777777" w:rsidR="00020217" w:rsidRPr="00EB3DB7" w:rsidRDefault="00020217" w:rsidP="00D924A3">
          <w:pPr>
            <w:tabs>
              <w:tab w:val="left" w:pos="7711"/>
            </w:tabs>
            <w:spacing w:after="0" w:line="264" w:lineRule="auto"/>
            <w:ind w:right="-1135"/>
            <w:rPr>
              <w:rFonts w:cs="Arial"/>
              <w:color w:val="6F89AC" w:themeColor="accent1"/>
              <w:spacing w:val="2"/>
              <w:sz w:val="14"/>
            </w:rPr>
          </w:pPr>
        </w:p>
      </w:tc>
      <w:tc>
        <w:tcPr>
          <w:tcW w:w="1413" w:type="dxa"/>
        </w:tcPr>
        <w:p w14:paraId="188E4EB7" w14:textId="77777777" w:rsidR="00020217" w:rsidRDefault="00020217" w:rsidP="00D924A3">
          <w:pPr>
            <w:pStyle w:val="Fuzeile"/>
            <w:spacing w:after="0"/>
            <w:jc w:val="right"/>
          </w:pPr>
          <w:r>
            <w:rPr>
              <w:rFonts w:cs="Arial"/>
              <w:b/>
              <w:noProof/>
              <w:spacing w:val="32"/>
              <w:sz w:val="32"/>
            </w:rPr>
            <w:drawing>
              <wp:anchor distT="0" distB="0" distL="114300" distR="114300" simplePos="0" relativeHeight="251659264" behindDoc="0" locked="0" layoutInCell="1" allowOverlap="1" wp14:anchorId="3AD0C64B" wp14:editId="7653F280">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14:paraId="791CEDBD" w14:textId="77777777" w:rsidR="00020217" w:rsidRPr="00563B4A" w:rsidRDefault="00020217">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787E" w14:textId="77777777" w:rsidR="00EE73AF" w:rsidRDefault="00EE73AF">
      <w:r>
        <w:separator/>
      </w:r>
    </w:p>
  </w:footnote>
  <w:footnote w:type="continuationSeparator" w:id="0">
    <w:p w14:paraId="0ECB69DF" w14:textId="77777777" w:rsidR="00EE73AF" w:rsidRDefault="00EE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447DD"/>
    <w:rsid w:val="00055F4A"/>
    <w:rsid w:val="00085644"/>
    <w:rsid w:val="00085BA1"/>
    <w:rsid w:val="000A591D"/>
    <w:rsid w:val="000C2109"/>
    <w:rsid w:val="000C3BD5"/>
    <w:rsid w:val="000D1739"/>
    <w:rsid w:val="000D30C9"/>
    <w:rsid w:val="000D4B44"/>
    <w:rsid w:val="000E5311"/>
    <w:rsid w:val="00111CD6"/>
    <w:rsid w:val="001145A4"/>
    <w:rsid w:val="00115BEC"/>
    <w:rsid w:val="001303D8"/>
    <w:rsid w:val="00133476"/>
    <w:rsid w:val="0014785F"/>
    <w:rsid w:val="00152E35"/>
    <w:rsid w:val="001542A4"/>
    <w:rsid w:val="0015715F"/>
    <w:rsid w:val="00185D01"/>
    <w:rsid w:val="001A5DAF"/>
    <w:rsid w:val="001B1640"/>
    <w:rsid w:val="001D36AE"/>
    <w:rsid w:val="001D4DF9"/>
    <w:rsid w:val="001E7F4A"/>
    <w:rsid w:val="001F5783"/>
    <w:rsid w:val="00207B0D"/>
    <w:rsid w:val="002416F6"/>
    <w:rsid w:val="002420F9"/>
    <w:rsid w:val="00245DCB"/>
    <w:rsid w:val="002711E5"/>
    <w:rsid w:val="0028142E"/>
    <w:rsid w:val="00286D56"/>
    <w:rsid w:val="002926A0"/>
    <w:rsid w:val="002A0F77"/>
    <w:rsid w:val="002A4E52"/>
    <w:rsid w:val="002B5575"/>
    <w:rsid w:val="002C2C18"/>
    <w:rsid w:val="002C5B19"/>
    <w:rsid w:val="002E403E"/>
    <w:rsid w:val="002F113B"/>
    <w:rsid w:val="002F2CFB"/>
    <w:rsid w:val="002F6C71"/>
    <w:rsid w:val="00321BD4"/>
    <w:rsid w:val="00346E7F"/>
    <w:rsid w:val="00367566"/>
    <w:rsid w:val="00374DE9"/>
    <w:rsid w:val="00387689"/>
    <w:rsid w:val="00395066"/>
    <w:rsid w:val="00397D03"/>
    <w:rsid w:val="003B03F0"/>
    <w:rsid w:val="003D21D9"/>
    <w:rsid w:val="003E3E6E"/>
    <w:rsid w:val="003E7AEE"/>
    <w:rsid w:val="003F6C9E"/>
    <w:rsid w:val="0042642C"/>
    <w:rsid w:val="00466A8F"/>
    <w:rsid w:val="004873DE"/>
    <w:rsid w:val="00491D88"/>
    <w:rsid w:val="00492BAE"/>
    <w:rsid w:val="004C5908"/>
    <w:rsid w:val="004F3A33"/>
    <w:rsid w:val="004F7AD9"/>
    <w:rsid w:val="0050307E"/>
    <w:rsid w:val="0050376A"/>
    <w:rsid w:val="005059C0"/>
    <w:rsid w:val="005259B1"/>
    <w:rsid w:val="00530F20"/>
    <w:rsid w:val="00557556"/>
    <w:rsid w:val="00563B4A"/>
    <w:rsid w:val="00587D10"/>
    <w:rsid w:val="005A2B47"/>
    <w:rsid w:val="005D0E41"/>
    <w:rsid w:val="005F7E4A"/>
    <w:rsid w:val="00602E6E"/>
    <w:rsid w:val="00607949"/>
    <w:rsid w:val="006354FD"/>
    <w:rsid w:val="006560D0"/>
    <w:rsid w:val="00664FB9"/>
    <w:rsid w:val="00665366"/>
    <w:rsid w:val="00685042"/>
    <w:rsid w:val="006857F6"/>
    <w:rsid w:val="00687177"/>
    <w:rsid w:val="00694324"/>
    <w:rsid w:val="006A74AF"/>
    <w:rsid w:val="006E2E18"/>
    <w:rsid w:val="006E38BE"/>
    <w:rsid w:val="006F1DE7"/>
    <w:rsid w:val="00701D11"/>
    <w:rsid w:val="00734335"/>
    <w:rsid w:val="0073443E"/>
    <w:rsid w:val="00742064"/>
    <w:rsid w:val="00743EFD"/>
    <w:rsid w:val="007619FC"/>
    <w:rsid w:val="00790DA3"/>
    <w:rsid w:val="007B58B2"/>
    <w:rsid w:val="007B6AC2"/>
    <w:rsid w:val="007B74C1"/>
    <w:rsid w:val="007C0EE7"/>
    <w:rsid w:val="007D243E"/>
    <w:rsid w:val="007D7D6A"/>
    <w:rsid w:val="007E0DD7"/>
    <w:rsid w:val="007F6084"/>
    <w:rsid w:val="0081474E"/>
    <w:rsid w:val="00824F13"/>
    <w:rsid w:val="0082677C"/>
    <w:rsid w:val="00833B93"/>
    <w:rsid w:val="00837AD1"/>
    <w:rsid w:val="008401FD"/>
    <w:rsid w:val="00850CDA"/>
    <w:rsid w:val="00860478"/>
    <w:rsid w:val="00860AD7"/>
    <w:rsid w:val="00862E98"/>
    <w:rsid w:val="00877F24"/>
    <w:rsid w:val="008838E1"/>
    <w:rsid w:val="008905DB"/>
    <w:rsid w:val="008B5072"/>
    <w:rsid w:val="008B5629"/>
    <w:rsid w:val="008B74B1"/>
    <w:rsid w:val="008E7F35"/>
    <w:rsid w:val="008F7D84"/>
    <w:rsid w:val="00906191"/>
    <w:rsid w:val="009170E8"/>
    <w:rsid w:val="00936F47"/>
    <w:rsid w:val="00947832"/>
    <w:rsid w:val="00947EA3"/>
    <w:rsid w:val="00974980"/>
    <w:rsid w:val="00982300"/>
    <w:rsid w:val="0099080F"/>
    <w:rsid w:val="00995350"/>
    <w:rsid w:val="009C435A"/>
    <w:rsid w:val="009C4EC3"/>
    <w:rsid w:val="009D4E87"/>
    <w:rsid w:val="009E2398"/>
    <w:rsid w:val="00A00291"/>
    <w:rsid w:val="00A10BBA"/>
    <w:rsid w:val="00A27507"/>
    <w:rsid w:val="00A439E7"/>
    <w:rsid w:val="00A8278F"/>
    <w:rsid w:val="00AD3751"/>
    <w:rsid w:val="00AD5B97"/>
    <w:rsid w:val="00B06063"/>
    <w:rsid w:val="00B80894"/>
    <w:rsid w:val="00BE2CFD"/>
    <w:rsid w:val="00C05356"/>
    <w:rsid w:val="00C2444A"/>
    <w:rsid w:val="00C53F5D"/>
    <w:rsid w:val="00C750BB"/>
    <w:rsid w:val="00C845AE"/>
    <w:rsid w:val="00CA4C3A"/>
    <w:rsid w:val="00CC066B"/>
    <w:rsid w:val="00CE610D"/>
    <w:rsid w:val="00CF3D87"/>
    <w:rsid w:val="00CF7956"/>
    <w:rsid w:val="00D02F48"/>
    <w:rsid w:val="00D24959"/>
    <w:rsid w:val="00D416A8"/>
    <w:rsid w:val="00D44B4D"/>
    <w:rsid w:val="00D50900"/>
    <w:rsid w:val="00D62738"/>
    <w:rsid w:val="00D763CF"/>
    <w:rsid w:val="00D924A3"/>
    <w:rsid w:val="00DA0960"/>
    <w:rsid w:val="00DC0BA0"/>
    <w:rsid w:val="00DC0FAB"/>
    <w:rsid w:val="00DD2FB6"/>
    <w:rsid w:val="00DE6F7F"/>
    <w:rsid w:val="00E033F8"/>
    <w:rsid w:val="00E17F39"/>
    <w:rsid w:val="00E566C1"/>
    <w:rsid w:val="00E66228"/>
    <w:rsid w:val="00E8305B"/>
    <w:rsid w:val="00E92AA7"/>
    <w:rsid w:val="00EB43DF"/>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F245E"/>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9362EC"/>
  <w15:docId w15:val="{75FF4601-76C5-4732-89D7-8C74A39B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DF2B-043F-4E45-9935-2895EB1C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3</Pages>
  <Words>636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Menke, Susanne</cp:lastModifiedBy>
  <cp:revision>3</cp:revision>
  <cp:lastPrinted>2022-09-15T07:53:00Z</cp:lastPrinted>
  <dcterms:created xsi:type="dcterms:W3CDTF">2022-09-27T10:08:00Z</dcterms:created>
  <dcterms:modified xsi:type="dcterms:W3CDTF">2022-09-28T14:10:00Z</dcterms:modified>
</cp:coreProperties>
</file>