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2829C0" w:rsidP="005D4065">
            <w:pPr>
              <w:pStyle w:val="Fuzeile"/>
              <w:tabs>
                <w:tab w:val="clear" w:pos="4536"/>
                <w:tab w:val="clear" w:pos="9072"/>
              </w:tabs>
              <w:spacing w:line="240" w:lineRule="auto"/>
              <w:rPr>
                <w:rFonts w:cs="Arial"/>
              </w:rPr>
            </w:pPr>
            <w:r>
              <w:rPr>
                <w:rFonts w:cs="Arial"/>
              </w:rPr>
              <w:t>Die</w:t>
            </w:r>
            <w:r w:rsidR="00566731" w:rsidRPr="006D4E99">
              <w:rPr>
                <w:rFonts w:cs="Arial"/>
              </w:rPr>
              <w:t xml:space="preserve"> Landr</w:t>
            </w:r>
            <w:r>
              <w:rPr>
                <w:rFonts w:cs="Arial"/>
              </w:rPr>
              <w:t>ätin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881C09">
              <w:rPr>
                <w:rFonts w:cs="Arial"/>
              </w:rPr>
              <w:t>14</w:t>
            </w:r>
            <w:r w:rsidR="00FF32AA">
              <w:rPr>
                <w:rFonts w:cs="Arial"/>
              </w:rPr>
              <w:t>.</w:t>
            </w:r>
            <w:r w:rsidR="00F552BE">
              <w:rPr>
                <w:rFonts w:cs="Arial"/>
              </w:rPr>
              <w:t>1</w:t>
            </w:r>
            <w:r w:rsidR="000A1407">
              <w:rPr>
                <w:rFonts w:cs="Arial"/>
              </w:rPr>
              <w:t>0</w:t>
            </w:r>
            <w:r w:rsidR="00862A5C">
              <w:rPr>
                <w:rFonts w:cs="Arial"/>
              </w:rPr>
              <w:t>.</w:t>
            </w:r>
            <w:r w:rsidR="00F552BE">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FDF06D"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6DEB12"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D2F7C"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69EB3D"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EDC75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A85E21"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E16F23"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5F9C1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FAE73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0A1407" w:rsidRDefault="009F7FD4" w:rsidP="00F16D97">
      <w:pPr>
        <w:rPr>
          <w:b/>
        </w:rPr>
      </w:pPr>
      <w:r w:rsidRPr="009F7FD4">
        <w:rPr>
          <w:b/>
        </w:rPr>
        <w:t>15 Jahre Senioren- und Pflegestützpunkt Landkreis Osnabrück – Fachlichkeit, die gefragt ist</w:t>
      </w:r>
    </w:p>
    <w:p w:rsidR="009F7FD4" w:rsidRDefault="009F7FD4" w:rsidP="00F16D97">
      <w:pPr>
        <w:rPr>
          <w:b/>
        </w:rPr>
      </w:pPr>
    </w:p>
    <w:p w:rsidR="009F7FD4" w:rsidRDefault="00AD7438" w:rsidP="000A1407">
      <w:pPr>
        <w:spacing w:after="120"/>
      </w:pPr>
      <w:r>
        <w:rPr>
          <w:b/>
        </w:rPr>
        <w:t>Osn</w:t>
      </w:r>
      <w:r w:rsidR="00F9059A">
        <w:rPr>
          <w:b/>
        </w:rPr>
        <w:t>a</w:t>
      </w:r>
      <w:r>
        <w:rPr>
          <w:b/>
        </w:rPr>
        <w:t>brück</w:t>
      </w:r>
      <w:r w:rsidR="00F47A48" w:rsidRPr="00F47A48">
        <w:rPr>
          <w:b/>
        </w:rPr>
        <w:t>.</w:t>
      </w:r>
      <w:r w:rsidR="00162327">
        <w:rPr>
          <w:b/>
        </w:rPr>
        <w:t xml:space="preserve"> </w:t>
      </w:r>
      <w:r w:rsidR="009F7FD4" w:rsidRPr="009F7FD4">
        <w:t>Seit 15 Jahren ist der Senioren- und Pflegestützpunkt im Landkreis Osnabrück (SPN) zentrale Anlaufstelle für Fragen rund um das Älterwerden, Pflege und Unterstützung im Alltag. „Was 2010 mit der Errichtung des Pflegestützpunktes im Kreishaus begann, hat sich zu einem etablierten Beratungsnetzwerk mit wachsender Bedeutung entwickelt“</w:t>
      </w:r>
      <w:r w:rsidR="009F7FD4">
        <w:t>,</w:t>
      </w:r>
      <w:r w:rsidR="009F7FD4" w:rsidRPr="009F7FD4">
        <w:t xml:space="preserve"> begrüßte Kreisrat Matthias Selle die Gäste.</w:t>
      </w:r>
    </w:p>
    <w:p w:rsidR="000A1407" w:rsidRDefault="000A1407" w:rsidP="000A1407">
      <w:pPr>
        <w:spacing w:after="120"/>
      </w:pPr>
      <w:r>
        <w:t>2012 wurde das Seniorenbüro des Landkreises gegründet – mit dem Ziel, ältere Bürgerinnen und Bürger in ihrer Selbstständigkeit zu stärken und gesellschaftliche Teilhabe zu fördern. Drei Jahre später, 2015, erfolgte der Zusammenschluss von Seniorenbüro und Pflegestützpunkt zum heutigen Senioren- und Pflegestützpunkt Landkreis Osnabrück. Damit wurden die Angebote gebündelt und die Beratung für Ratsuchende weiter verbessert.</w:t>
      </w:r>
    </w:p>
    <w:p w:rsidR="00EF1DEC" w:rsidRDefault="000A1407" w:rsidP="000A1407">
      <w:pPr>
        <w:spacing w:after="120"/>
      </w:pPr>
      <w:r>
        <w:t>Ein wichtiger Meilenstein war 2017 die Erarbeitung eines Qualitätsstandards für die Pflegeberatung – in Kooperation mit der Hochschule Osnab</w:t>
      </w:r>
      <w:r w:rsidR="006C50CD">
        <w:t>rück unter Leitung von Prof.</w:t>
      </w:r>
      <w:r w:rsidR="00EF1DEC">
        <w:t xml:space="preserve"> Andreas Büscher. Der Wissenschaftler</w:t>
      </w:r>
      <w:r w:rsidR="00EF71E2">
        <w:t xml:space="preserve"> unterstich</w:t>
      </w:r>
      <w:r>
        <w:t xml:space="preserve"> in seinem Fest</w:t>
      </w:r>
      <w:r w:rsidR="00EF71E2">
        <w:t>vortrag</w:t>
      </w:r>
      <w:r w:rsidR="004D1B11">
        <w:t xml:space="preserve"> </w:t>
      </w:r>
      <w:r>
        <w:t xml:space="preserve">die </w:t>
      </w:r>
      <w:r>
        <w:lastRenderedPageBreak/>
        <w:t>wachsende Relevanz professioneller Unterstützung: „Beratung zu Pflegefragen ist vielfältig. Sie wird in Zukunft weiter an Bedeutung gewinnen.“</w:t>
      </w:r>
      <w:r w:rsidR="00EF1DEC">
        <w:t xml:space="preserve"> Büscher verwies in diesem Zusammenhang auf die eindeutige demografische Entwicklung. Nach seinen Angaben hat sich die Präferenz der häuslichen Versorgung fortwährend bestätigt. Zugleich sei die professionelle Versorgung aller pflegebedürftigen Menschen eine Illusion. Büscher betonte: „Die Prävention von Pflegebedürftigkeit sowie die Stabilisierung der häuslichen Pflege ist das Gebote der Stunde.“</w:t>
      </w:r>
    </w:p>
    <w:p w:rsidR="00EF71E2" w:rsidRDefault="00EF1DEC" w:rsidP="000A1407">
      <w:pPr>
        <w:spacing w:after="120"/>
      </w:pPr>
      <w:r>
        <w:t xml:space="preserve">Der Landkreis Osnabrück hat sich deshalb schon in den vergangenen Jahren auf den Weg gemacht, die Angebote zu erweitern. </w:t>
      </w:r>
      <w:r w:rsidR="000A1407">
        <w:t xml:space="preserve">Seit 2020 steht Bürgerinnen und Bürgern mit der Außenstelle in Bramsche ein weiterer Standort zur Verfügung. </w:t>
      </w:r>
      <w:r w:rsidR="00EF71E2" w:rsidRPr="00EF71E2">
        <w:t>Zudem bietet seit Ende 2024 die Website www.pflege-os.de die Möglichkeit, sich online über Pflege, Unterstützung und Vorsorge zu informieren und direkt Ko</w:t>
      </w:r>
      <w:r w:rsidR="00EF71E2">
        <w:t>ntakt mit dem Team des Senioren-</w:t>
      </w:r>
      <w:r w:rsidR="00EF71E2" w:rsidRPr="00EF71E2">
        <w:t xml:space="preserve"> und Pflegestützpunktes aufzunehmen.</w:t>
      </w:r>
    </w:p>
    <w:p w:rsidR="000A1407" w:rsidRDefault="0034500B" w:rsidP="000A1407">
      <w:pPr>
        <w:spacing w:after="120"/>
      </w:pPr>
      <w:r>
        <w:t xml:space="preserve">Die Nachfrage </w:t>
      </w:r>
      <w:r w:rsidR="000A1407">
        <w:t>ist in den vergangenen Jahren kontinuierlich gestiegen – seit der Gründung hat sich die Zahl der Be</w:t>
      </w:r>
      <w:r>
        <w:t xml:space="preserve">ratungen mehr als vervierfacht, von gut 500 im Jahr 2010 auf rund 2000 im Jahr 2024. </w:t>
      </w:r>
      <w:r w:rsidR="000A1407">
        <w:t xml:space="preserve">„Das zeigt, wie wichtig es ist, Menschen in allen Lebensphasen und Lebenslagen kompetent </w:t>
      </w:r>
      <w:r w:rsidR="00CF6D6E">
        <w:t>zu b</w:t>
      </w:r>
      <w:r>
        <w:t>egleiten“, sagt Petra Herder</w:t>
      </w:r>
      <w:r w:rsidR="000A1407">
        <w:t xml:space="preserve"> </w:t>
      </w:r>
      <w:r w:rsidR="00CF6D6E">
        <w:t xml:space="preserve">vom </w:t>
      </w:r>
      <w:r>
        <w:t>Senioren- und Pflegestützpunkt.</w:t>
      </w:r>
    </w:p>
    <w:p w:rsidR="009E16C2" w:rsidRDefault="009E16C2" w:rsidP="009E16C2">
      <w:pPr>
        <w:spacing w:after="120"/>
      </w:pPr>
      <w:r>
        <w:t>Zum Jubiläum blickt der Landkreis Osnabrück gemeinsam mit Kooperationspartnerinnen und -partnern, Kreistagsabgeordneten, Ehrenamtlichen und Fachleuten aus der Pflege auf 15 Jahre engagierte Arbeit und erfolgreiche Entwicklung zurück – und zugleich nach vorn: auf eine Zukunft, in der Beratung, Vernetzung und Prävention weiter an Bedeutung gewinnen werden.</w:t>
      </w:r>
    </w:p>
    <w:p w:rsidR="000A1407" w:rsidRDefault="000A1407" w:rsidP="000A1407">
      <w:pPr>
        <w:spacing w:after="120"/>
      </w:pPr>
    </w:p>
    <w:p w:rsidR="00100441" w:rsidRDefault="00125792" w:rsidP="00100441">
      <w:r>
        <w:t>Bildunterschriften:</w:t>
      </w:r>
      <w:bookmarkStart w:id="0" w:name="_GoBack"/>
      <w:bookmarkEnd w:id="0"/>
    </w:p>
    <w:p w:rsidR="009E16C2" w:rsidRDefault="009E16C2" w:rsidP="009E16C2">
      <w:pPr>
        <w:autoSpaceDE w:val="0"/>
        <w:autoSpaceDN w:val="0"/>
      </w:pPr>
      <w:r>
        <w:t xml:space="preserve">Blickten gemeinsam auf das 15-jährige Bestehen des Senioren- und Pflegestützpunktes im Landkreis Osnabrück zurück (von links): </w:t>
      </w:r>
      <w:r>
        <w:rPr>
          <w:rFonts w:cs="Arial"/>
          <w:color w:val="000000"/>
        </w:rPr>
        <w:t xml:space="preserve">Francesca Denby </w:t>
      </w:r>
      <w:r w:rsidRPr="00302900">
        <w:rPr>
          <w:rFonts w:cs="Arial"/>
          <w:color w:val="000000"/>
        </w:rPr>
        <w:t>(Geschäftsbereichsleiterin Pflegeaußendienst</w:t>
      </w:r>
      <w:r>
        <w:rPr>
          <w:rFonts w:cs="Arial"/>
          <w:color w:val="000000"/>
        </w:rPr>
        <w:t xml:space="preserve"> der AOK</w:t>
      </w:r>
      <w:r w:rsidRPr="00302900">
        <w:rPr>
          <w:rFonts w:cs="Arial"/>
          <w:color w:val="000000"/>
        </w:rPr>
        <w:t>)</w:t>
      </w:r>
      <w:r>
        <w:t xml:space="preserve">, Jutta Olbricht (Mitglied des Kreistages), Kreisrat Matthias Selle (Vorstand für Jugend, </w:t>
      </w:r>
      <w:r>
        <w:lastRenderedPageBreak/>
        <w:t>Soziales, Schule, Kultur und Sport), Arend Holzgräfe (Mitglied des Kreistages und Behindertenbeirates), Prof. Andreas Büscher (Hochschule Osnabrück), Imke Märkl (Mitglied des Kreistages und Vorsitzende des Ausschusses für Soziales, Senioren und Gleichstellung), Fachdienstleiterin Anja Fels und Petra Herder (Senioren- und Pflegestützpunkt).</w:t>
      </w:r>
    </w:p>
    <w:p w:rsidR="00137C39" w:rsidRDefault="00137C39" w:rsidP="009E16C2">
      <w:pPr>
        <w:autoSpaceDE w:val="0"/>
        <w:autoSpaceDN w:val="0"/>
      </w:pPr>
    </w:p>
    <w:p w:rsidR="00137C39" w:rsidRDefault="00137C39" w:rsidP="004722DF">
      <w:pPr>
        <w:autoSpaceDE w:val="0"/>
        <w:autoSpaceDN w:val="0"/>
      </w:pPr>
      <w:r>
        <w:t xml:space="preserve">Das Team vom </w:t>
      </w:r>
      <w:r w:rsidR="004722DF">
        <w:t>Senioren- und Pflegestützpunkt (von links): Petra Herder, Susanne Markmeyer, Kathrin Spudic, Tristan Gruschk</w:t>
      </w:r>
      <w:r w:rsidR="00BB6113">
        <w:t>a und Bianca Warnecke (es fehlt</w:t>
      </w:r>
      <w:r w:rsidR="004722DF">
        <w:t xml:space="preserve"> Susanne Klesse).</w:t>
      </w:r>
    </w:p>
    <w:p w:rsidR="00084E5C" w:rsidRPr="00084E5C" w:rsidRDefault="009E16C2" w:rsidP="009E16C2">
      <w:pPr>
        <w:jc w:val="right"/>
      </w:pPr>
      <w:r>
        <w:t>Foto</w:t>
      </w:r>
      <w:r w:rsidR="00137C39">
        <w:t>s</w:t>
      </w:r>
      <w:r>
        <w:t>: Landkreis Osnabrück/Uwe Lewandowski</w:t>
      </w:r>
    </w:p>
    <w:sectPr w:rsidR="00084E5C"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BE1" w:rsidRDefault="005E4BE1">
      <w:pPr>
        <w:spacing w:line="240" w:lineRule="auto"/>
      </w:pPr>
      <w:r>
        <w:separator/>
      </w:r>
    </w:p>
  </w:endnote>
  <w:endnote w:type="continuationSeparator" w:id="0">
    <w:p w:rsidR="005E4BE1" w:rsidRDefault="005E4B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B6113">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BE1" w:rsidRDefault="005E4BE1">
      <w:pPr>
        <w:spacing w:line="240" w:lineRule="auto"/>
      </w:pPr>
      <w:r>
        <w:separator/>
      </w:r>
    </w:p>
  </w:footnote>
  <w:footnote w:type="continuationSeparator" w:id="0">
    <w:p w:rsidR="005E4BE1" w:rsidRDefault="005E4BE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637FF"/>
    <w:rsid w:val="0008310A"/>
    <w:rsid w:val="0008394D"/>
    <w:rsid w:val="00084E5C"/>
    <w:rsid w:val="00085B5C"/>
    <w:rsid w:val="0009174E"/>
    <w:rsid w:val="000A025B"/>
    <w:rsid w:val="000A1407"/>
    <w:rsid w:val="000B0542"/>
    <w:rsid w:val="000C3E06"/>
    <w:rsid w:val="000C496C"/>
    <w:rsid w:val="000C51A9"/>
    <w:rsid w:val="000D0D28"/>
    <w:rsid w:val="000D6D18"/>
    <w:rsid w:val="000E12EF"/>
    <w:rsid w:val="000F189A"/>
    <w:rsid w:val="00100441"/>
    <w:rsid w:val="00105D62"/>
    <w:rsid w:val="00125792"/>
    <w:rsid w:val="001269AF"/>
    <w:rsid w:val="00137C39"/>
    <w:rsid w:val="00142162"/>
    <w:rsid w:val="001465F4"/>
    <w:rsid w:val="0015295E"/>
    <w:rsid w:val="0015505A"/>
    <w:rsid w:val="001567A1"/>
    <w:rsid w:val="0016056D"/>
    <w:rsid w:val="00160D1D"/>
    <w:rsid w:val="00162327"/>
    <w:rsid w:val="00162636"/>
    <w:rsid w:val="00185344"/>
    <w:rsid w:val="00195B79"/>
    <w:rsid w:val="001C0D85"/>
    <w:rsid w:val="001E0D9F"/>
    <w:rsid w:val="001F6145"/>
    <w:rsid w:val="00230050"/>
    <w:rsid w:val="00250ED8"/>
    <w:rsid w:val="002514AE"/>
    <w:rsid w:val="00260969"/>
    <w:rsid w:val="00264EC4"/>
    <w:rsid w:val="002726B8"/>
    <w:rsid w:val="002829C0"/>
    <w:rsid w:val="0028326D"/>
    <w:rsid w:val="00294A40"/>
    <w:rsid w:val="002B3D5E"/>
    <w:rsid w:val="002C1213"/>
    <w:rsid w:val="002D0804"/>
    <w:rsid w:val="002E43CA"/>
    <w:rsid w:val="002E6FF7"/>
    <w:rsid w:val="002E745F"/>
    <w:rsid w:val="002E7D59"/>
    <w:rsid w:val="003026CF"/>
    <w:rsid w:val="00322A2F"/>
    <w:rsid w:val="00323CC6"/>
    <w:rsid w:val="00341DA3"/>
    <w:rsid w:val="0034297C"/>
    <w:rsid w:val="0034500B"/>
    <w:rsid w:val="0036445F"/>
    <w:rsid w:val="00377AD5"/>
    <w:rsid w:val="00382DC9"/>
    <w:rsid w:val="003B1659"/>
    <w:rsid w:val="003C726C"/>
    <w:rsid w:val="003E1893"/>
    <w:rsid w:val="003F2DB8"/>
    <w:rsid w:val="00447B33"/>
    <w:rsid w:val="00464130"/>
    <w:rsid w:val="00464C94"/>
    <w:rsid w:val="004722DF"/>
    <w:rsid w:val="00487F4D"/>
    <w:rsid w:val="004A6621"/>
    <w:rsid w:val="004C1946"/>
    <w:rsid w:val="004C5AA4"/>
    <w:rsid w:val="004D1B11"/>
    <w:rsid w:val="00500497"/>
    <w:rsid w:val="005064D3"/>
    <w:rsid w:val="00507473"/>
    <w:rsid w:val="00511E94"/>
    <w:rsid w:val="00515E7D"/>
    <w:rsid w:val="005210A3"/>
    <w:rsid w:val="005220E2"/>
    <w:rsid w:val="005226F6"/>
    <w:rsid w:val="00543D20"/>
    <w:rsid w:val="00547809"/>
    <w:rsid w:val="00551E3C"/>
    <w:rsid w:val="00554C06"/>
    <w:rsid w:val="005634A4"/>
    <w:rsid w:val="00566731"/>
    <w:rsid w:val="0057486D"/>
    <w:rsid w:val="00590BA5"/>
    <w:rsid w:val="005C4BD9"/>
    <w:rsid w:val="005D4065"/>
    <w:rsid w:val="005E4BE1"/>
    <w:rsid w:val="006033EF"/>
    <w:rsid w:val="00604CDD"/>
    <w:rsid w:val="00610DBA"/>
    <w:rsid w:val="0061566D"/>
    <w:rsid w:val="006230B6"/>
    <w:rsid w:val="006375C0"/>
    <w:rsid w:val="00640F0A"/>
    <w:rsid w:val="00657240"/>
    <w:rsid w:val="00660CF1"/>
    <w:rsid w:val="00673BD4"/>
    <w:rsid w:val="00676722"/>
    <w:rsid w:val="0068340C"/>
    <w:rsid w:val="0069207A"/>
    <w:rsid w:val="006928CA"/>
    <w:rsid w:val="00693B74"/>
    <w:rsid w:val="006C2BA2"/>
    <w:rsid w:val="006C3FC2"/>
    <w:rsid w:val="006C50CD"/>
    <w:rsid w:val="006D4E99"/>
    <w:rsid w:val="006D5BD1"/>
    <w:rsid w:val="006E0E4F"/>
    <w:rsid w:val="006E4B46"/>
    <w:rsid w:val="006E7893"/>
    <w:rsid w:val="006F1BD0"/>
    <w:rsid w:val="006F2E7E"/>
    <w:rsid w:val="007009FB"/>
    <w:rsid w:val="00704B1C"/>
    <w:rsid w:val="0071531A"/>
    <w:rsid w:val="0071558E"/>
    <w:rsid w:val="0072161F"/>
    <w:rsid w:val="00743A19"/>
    <w:rsid w:val="00747273"/>
    <w:rsid w:val="00747840"/>
    <w:rsid w:val="00750B30"/>
    <w:rsid w:val="00751981"/>
    <w:rsid w:val="00755D5F"/>
    <w:rsid w:val="007601F5"/>
    <w:rsid w:val="00761301"/>
    <w:rsid w:val="00793504"/>
    <w:rsid w:val="007945D7"/>
    <w:rsid w:val="007A134E"/>
    <w:rsid w:val="007C5758"/>
    <w:rsid w:val="007E0170"/>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1C09"/>
    <w:rsid w:val="00885402"/>
    <w:rsid w:val="00896F52"/>
    <w:rsid w:val="008A1EB3"/>
    <w:rsid w:val="008A4FB1"/>
    <w:rsid w:val="008C7993"/>
    <w:rsid w:val="008D0C25"/>
    <w:rsid w:val="008D1829"/>
    <w:rsid w:val="008D3D08"/>
    <w:rsid w:val="008F0606"/>
    <w:rsid w:val="008F06E5"/>
    <w:rsid w:val="008F0878"/>
    <w:rsid w:val="008F5A3A"/>
    <w:rsid w:val="00933713"/>
    <w:rsid w:val="00936A53"/>
    <w:rsid w:val="00942E6A"/>
    <w:rsid w:val="00952203"/>
    <w:rsid w:val="00955F60"/>
    <w:rsid w:val="00975993"/>
    <w:rsid w:val="00977EA8"/>
    <w:rsid w:val="00981F9E"/>
    <w:rsid w:val="009833AA"/>
    <w:rsid w:val="009A39ED"/>
    <w:rsid w:val="009C0F1C"/>
    <w:rsid w:val="009C6E9E"/>
    <w:rsid w:val="009D1F51"/>
    <w:rsid w:val="009E16C2"/>
    <w:rsid w:val="009E1D78"/>
    <w:rsid w:val="009F64D5"/>
    <w:rsid w:val="009F7FD4"/>
    <w:rsid w:val="00A04908"/>
    <w:rsid w:val="00A05B1C"/>
    <w:rsid w:val="00A22DB2"/>
    <w:rsid w:val="00A374C3"/>
    <w:rsid w:val="00A37E09"/>
    <w:rsid w:val="00A40F64"/>
    <w:rsid w:val="00A45AB3"/>
    <w:rsid w:val="00A83D02"/>
    <w:rsid w:val="00A85C15"/>
    <w:rsid w:val="00A92CA8"/>
    <w:rsid w:val="00AB46ED"/>
    <w:rsid w:val="00AD25F9"/>
    <w:rsid w:val="00AD2C6B"/>
    <w:rsid w:val="00AD7438"/>
    <w:rsid w:val="00AE6834"/>
    <w:rsid w:val="00AF79A2"/>
    <w:rsid w:val="00B0156A"/>
    <w:rsid w:val="00B04EB0"/>
    <w:rsid w:val="00B25788"/>
    <w:rsid w:val="00B5253A"/>
    <w:rsid w:val="00B53688"/>
    <w:rsid w:val="00B67D99"/>
    <w:rsid w:val="00B862D5"/>
    <w:rsid w:val="00B86B03"/>
    <w:rsid w:val="00B90845"/>
    <w:rsid w:val="00B96A66"/>
    <w:rsid w:val="00BA0B1F"/>
    <w:rsid w:val="00BA2A94"/>
    <w:rsid w:val="00BA6600"/>
    <w:rsid w:val="00BB0E7C"/>
    <w:rsid w:val="00BB3874"/>
    <w:rsid w:val="00BB6113"/>
    <w:rsid w:val="00BD3618"/>
    <w:rsid w:val="00BD66DC"/>
    <w:rsid w:val="00BE17C9"/>
    <w:rsid w:val="00BF1512"/>
    <w:rsid w:val="00C06B13"/>
    <w:rsid w:val="00C26BE6"/>
    <w:rsid w:val="00C31FAA"/>
    <w:rsid w:val="00C325EB"/>
    <w:rsid w:val="00C433C7"/>
    <w:rsid w:val="00C51B95"/>
    <w:rsid w:val="00C5283F"/>
    <w:rsid w:val="00C553F4"/>
    <w:rsid w:val="00C8046B"/>
    <w:rsid w:val="00CA2D96"/>
    <w:rsid w:val="00CC29AE"/>
    <w:rsid w:val="00CF6D6E"/>
    <w:rsid w:val="00D0152A"/>
    <w:rsid w:val="00D0252A"/>
    <w:rsid w:val="00D04FA1"/>
    <w:rsid w:val="00D138B0"/>
    <w:rsid w:val="00D178D9"/>
    <w:rsid w:val="00D3061E"/>
    <w:rsid w:val="00D34915"/>
    <w:rsid w:val="00D41EE0"/>
    <w:rsid w:val="00D4784A"/>
    <w:rsid w:val="00D510AD"/>
    <w:rsid w:val="00D7273D"/>
    <w:rsid w:val="00D760D9"/>
    <w:rsid w:val="00DB2B7E"/>
    <w:rsid w:val="00DC155D"/>
    <w:rsid w:val="00DE7F29"/>
    <w:rsid w:val="00DF0D7D"/>
    <w:rsid w:val="00DF5185"/>
    <w:rsid w:val="00E130BA"/>
    <w:rsid w:val="00E16F23"/>
    <w:rsid w:val="00E37808"/>
    <w:rsid w:val="00E37934"/>
    <w:rsid w:val="00E421D9"/>
    <w:rsid w:val="00E47ABD"/>
    <w:rsid w:val="00E640DB"/>
    <w:rsid w:val="00E84CE8"/>
    <w:rsid w:val="00E854F5"/>
    <w:rsid w:val="00E94D5B"/>
    <w:rsid w:val="00EA23A1"/>
    <w:rsid w:val="00EB7E11"/>
    <w:rsid w:val="00EC4FA5"/>
    <w:rsid w:val="00EC724B"/>
    <w:rsid w:val="00EF1DEC"/>
    <w:rsid w:val="00EF7121"/>
    <w:rsid w:val="00EF71E2"/>
    <w:rsid w:val="00F16D97"/>
    <w:rsid w:val="00F37764"/>
    <w:rsid w:val="00F407FE"/>
    <w:rsid w:val="00F420A1"/>
    <w:rsid w:val="00F47A48"/>
    <w:rsid w:val="00F52F9C"/>
    <w:rsid w:val="00F552BE"/>
    <w:rsid w:val="00F6152E"/>
    <w:rsid w:val="00F639AF"/>
    <w:rsid w:val="00F70DA6"/>
    <w:rsid w:val="00F9059A"/>
    <w:rsid w:val="00F91324"/>
    <w:rsid w:val="00F966D1"/>
    <w:rsid w:val="00FA5F78"/>
    <w:rsid w:val="00FC4AF0"/>
    <w:rsid w:val="00FD4FB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94594"/>
  <w15:docId w15:val="{6C594ABB-E7B1-4102-85CB-EDE2FA9F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 w:id="1762145505">
      <w:bodyDiv w:val="1"/>
      <w:marLeft w:val="0"/>
      <w:marRight w:val="0"/>
      <w:marTop w:val="0"/>
      <w:marBottom w:val="0"/>
      <w:divBdr>
        <w:top w:val="none" w:sz="0" w:space="0" w:color="auto"/>
        <w:left w:val="none" w:sz="0" w:space="0" w:color="auto"/>
        <w:bottom w:val="none" w:sz="0" w:space="0" w:color="auto"/>
        <w:right w:val="none" w:sz="0" w:space="0" w:color="auto"/>
      </w:divBdr>
    </w:div>
    <w:div w:id="185063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23507-79DE-4394-99B8-20C0C51E8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3702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23</cp:revision>
  <cp:lastPrinted>2016-07-21T12:50:00Z</cp:lastPrinted>
  <dcterms:created xsi:type="dcterms:W3CDTF">2025-10-06T05:04:00Z</dcterms:created>
  <dcterms:modified xsi:type="dcterms:W3CDTF">2025-10-14T09:53:00Z</dcterms:modified>
</cp:coreProperties>
</file>